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仿宋" w:hAnsi="仿宋"/>
          <w:color w:val="auto"/>
          <w:highlight w:val="none"/>
          <w:lang w:val="en-US"/>
        </w:rPr>
      </w:pPr>
      <w:r>
        <w:rPr>
          <w:rFonts w:hint="eastAsia" w:ascii="黑体" w:hAnsi="黑体" w:eastAsia="黑体" w:cs="仿宋"/>
          <w:color w:val="auto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highlight w:val="none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抽检项目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的说明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 w:eastAsia="仿宋_GB231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酸价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酸价是指中和 1g 油脂中游离脂肪酸所需 KOH 的毫克数。油脂酸败时游离脂肪酸增加，酸价也随之增高，因此该指标可用于评价油脂酸败的程度。油脂酸败可产生醛酮类化合物，长期摄入会对健康有一定影响。一般情况下，消费者在使用过程中可以明显辨别出其有哈喇等异味，需避免食用。造成酸值（价）不合格的主要原因有：原料采购上把关不严、生产工艺不达标、产品储藏条件不当，特别是在环境温度较高时，易导致食品中脂肪的氧化酸败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napToGrid w:val="0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7C922D83"/>
    <w:rsid w:val="2D9F37FB"/>
    <w:rsid w:val="4DAF419D"/>
    <w:rsid w:val="62651166"/>
    <w:rsid w:val="7C92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2</Pages>
  <Words>881</Words>
  <Characters>912</Characters>
  <Lines>0</Lines>
  <Paragraphs>0</Paragraphs>
  <TotalTime>3</TotalTime>
  <ScaleCrop>false</ScaleCrop>
  <LinksUpToDate>false</LinksUpToDate>
  <CharactersWithSpaces>920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2022-04-29T08:14:00Z</dcterms:created>
  <dc:creator>罗钰珊</dc:creator>
  <cp:lastModifiedBy>东东枪</cp:lastModifiedBy>
  <dcterms:modified xsi:type="dcterms:W3CDTF">2022-11-14T02:14:00Z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CD25FEBE8D13400D93830F7435FA1505</vt:lpwstr>
  </property>
</Properties>
</file>