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GB 2760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食品添加剂使用标准》、《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GB 4789.2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菌落总</w:t>
            </w:r>
            <w:bookmarkStart w:id="0" w:name="_GoBack"/>
            <w:bookmarkEnd w:id="0"/>
            <w:r>
              <w:rPr>
                <w:rStyle w:val="6"/>
                <w:bdr w:val="none" w:color="auto" w:sz="0" w:space="0"/>
                <w:lang w:val="en-US" w:eastAsia="zh-CN" w:bidi="ar"/>
              </w:rPr>
              <w:t>数测定》、《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GB 4789.15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食品微生物学检验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霉菌和酵母计数》等标准及产品明示标准的要求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果糖和葡萄糖、蔗糖、菌落总数、霉菌计数、嗜渗酵母计数、甲硝唑、地美硝唑、氯霉素、洛硝达唑、吠喃妥因代谢物、吠喃西林代谢物、吠喃唑酮代谢物、山梨酸及其钾盐（以山梨酸计）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194B2728"/>
    <w:rsid w:val="1D4F257B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15</Pages>
  <Words>9920</Words>
  <Characters>10150</Characters>
  <Lines>0</Lines>
  <Paragraphs>0</Paragraphs>
  <TotalTime>0</TotalTime>
  <ScaleCrop>false</ScaleCrop>
  <LinksUpToDate>false</LinksUpToDate>
  <CharactersWithSpaces>10172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2022-11-07T06:38:51Z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0108D8DF97DB4118BED93FFCBA189840</vt:lpwstr>
  </property>
</Properties>
</file>