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lang w:val="en-US" w:eastAsia="zh-CN"/>
        </w:rPr>
        <w:t>曲靖市养老托育服务发展主要目标</w:t>
      </w:r>
    </w:p>
    <w:p>
      <w:pPr>
        <w:pStyle w:val="4"/>
        <w:jc w:val="center"/>
        <w:rPr>
          <w:rFonts w:hint="default" w:ascii="Times New Roman" w:hAnsi="Times New Roman" w:cs="Times New Roman"/>
          <w:color w:val="000000"/>
          <w:u w:val="non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0"/>
        <w:gridCol w:w="4840"/>
        <w:gridCol w:w="156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目标值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>指标属性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各地新建城区、新建居住（小）区配套建设社区养老托育服务设施达标率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居民小区配建普惠托育机构占比达标率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≧60%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辖区每千人拥有3岁以下婴幼儿托位数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4.5个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highlight w:val="red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护理型床位占养老机构床位总数比例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≧55%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社区日间照料机构覆盖率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u w:val="none"/>
                <w:lang w:val="en-US" w:eastAsia="zh-CN"/>
              </w:rPr>
              <w:t>城市90%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2"/>
                <w:u w:val="none"/>
                <w:lang w:val="en-US" w:eastAsia="zh-CN" w:bidi="ar-SA"/>
              </w:rPr>
              <w:t>农村70%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生活不能自理特困人员集中供养率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≧60%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有集中供养意愿的特困人员集中供养率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三级中医医院设置康复科比例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85%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居家适老化改造户数（特殊困难老年人家庭）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5000户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乡镇（街道）建有老年学校占比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50%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婴幼儿早期发展知识普及率、家长及婴幼儿照护者接受科学育儿指导率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90%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医养结合优质服务单位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20家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示范性托育机构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50个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托育服务体系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基本形成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highlight w:val="gree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预期性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54DB"/>
    <w:rsid w:val="33A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2022-11-22T02:23:00Z</dcterms:created>
  <dc:creator>Administrator</dc:creator>
  <cp:lastModifiedBy>Administrator</cp:lastModifiedBy>
  <dcterms:modified xsi:type="dcterms:W3CDTF">2022-11-22T02:23:32Z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