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A7454" w14:textId="77777777" w:rsidR="00453FF6" w:rsidRDefault="00453FF6">
      <w:pPr>
        <w:jc w:val="left"/>
        <w:rPr>
          <w:rFonts w:ascii="微软雅黑" w:eastAsia="微软雅黑" w:hAnsi="微软雅黑" w:cs="微软雅黑"/>
          <w:kern w:val="0"/>
          <w:sz w:val="32"/>
          <w:szCs w:val="32"/>
        </w:rPr>
      </w:pPr>
    </w:p>
    <w:p w14:paraId="4A8D8D9C" w14:textId="77777777" w:rsidR="00453FF6" w:rsidRDefault="00BF0DE7">
      <w:pPr>
        <w:jc w:val="left"/>
        <w:rPr>
          <w:rFonts w:ascii="方正黑体_GBK" w:eastAsia="方正黑体_GBK" w:hAnsi="方正黑体_GBK" w:cs="方正黑体_GBK"/>
          <w:kern w:val="0"/>
          <w:sz w:val="32"/>
          <w:szCs w:val="32"/>
        </w:rPr>
      </w:pPr>
      <w:r>
        <w:rPr>
          <w:rFonts w:ascii="方正黑体_GBK" w:eastAsia="方正黑体_GBK" w:hAnsi="方正黑体_GBK" w:cs="方正黑体_GBK" w:hint="eastAsia"/>
          <w:kern w:val="0"/>
          <w:sz w:val="32"/>
          <w:szCs w:val="32"/>
        </w:rPr>
        <w:t>附件</w:t>
      </w:r>
      <w:r>
        <w:rPr>
          <w:rFonts w:ascii="方正黑体_GBK" w:eastAsia="方正黑体_GBK" w:hAnsi="方正黑体_GBK" w:cs="方正黑体_GBK" w:hint="eastAsia"/>
          <w:kern w:val="0"/>
          <w:sz w:val="32"/>
          <w:szCs w:val="32"/>
        </w:rPr>
        <w:t>1</w:t>
      </w:r>
    </w:p>
    <w:p w14:paraId="337E845F" w14:textId="77777777" w:rsidR="00453FF6" w:rsidRDefault="00BF0DE7">
      <w:pPr>
        <w:pStyle w:val="1"/>
        <w:spacing w:before="0" w:beforeAutospacing="0" w:after="0" w:afterAutospacing="0" w:line="700" w:lineRule="exact"/>
        <w:jc w:val="center"/>
        <w:rPr>
          <w:rFonts w:ascii="方正小标宋_GBK" w:eastAsia="方正小标宋_GBK" w:hAnsi="方正小标宋_GBK" w:cs="方正小标宋_GBK"/>
          <w:b w:val="0"/>
          <w:bCs w:val="0"/>
          <w:sz w:val="44"/>
          <w:szCs w:val="44"/>
        </w:rPr>
      </w:pPr>
      <w:r>
        <w:rPr>
          <w:rFonts w:ascii="方正小标宋_GBK" w:eastAsia="方正小标宋_GBK" w:hAnsi="方正小标宋_GBK" w:cs="方正小标宋_GBK" w:hint="eastAsia"/>
          <w:b w:val="0"/>
          <w:bCs w:val="0"/>
          <w:sz w:val="44"/>
          <w:szCs w:val="44"/>
        </w:rPr>
        <w:t>曲靖</w:t>
      </w:r>
      <w:r>
        <w:rPr>
          <w:rFonts w:ascii="方正小标宋_GBK" w:eastAsia="方正小标宋_GBK" w:hAnsi="方正小标宋_GBK" w:cs="方正小标宋_GBK" w:hint="eastAsia"/>
          <w:b w:val="0"/>
          <w:bCs w:val="0"/>
          <w:sz w:val="44"/>
          <w:szCs w:val="44"/>
        </w:rPr>
        <w:t>市</w:t>
      </w:r>
      <w:r>
        <w:rPr>
          <w:rFonts w:ascii="方正小标宋_GBK" w:eastAsia="方正小标宋_GBK" w:hAnsi="方正小标宋_GBK" w:cs="方正小标宋_GBK" w:hint="eastAsia"/>
          <w:b w:val="0"/>
          <w:bCs w:val="0"/>
          <w:sz w:val="44"/>
          <w:szCs w:val="44"/>
        </w:rPr>
        <w:t>机动车洗车场管理办法（试行）</w:t>
      </w:r>
    </w:p>
    <w:p w14:paraId="17A8FD2B" w14:textId="77777777" w:rsidR="00453FF6" w:rsidRDefault="00BF0DE7">
      <w:pPr>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w:t>
      </w:r>
      <w:r>
        <w:rPr>
          <w:rFonts w:ascii="方正楷体_GBK" w:eastAsia="方正楷体_GBK" w:hAnsi="方正楷体_GBK" w:cs="方正楷体_GBK" w:hint="eastAsia"/>
          <w:sz w:val="32"/>
          <w:szCs w:val="32"/>
        </w:rPr>
        <w:t>征求意见稿</w:t>
      </w:r>
      <w:r>
        <w:rPr>
          <w:rFonts w:ascii="方正楷体_GBK" w:eastAsia="方正楷体_GBK" w:hAnsi="方正楷体_GBK" w:cs="方正楷体_GBK" w:hint="eastAsia"/>
          <w:sz w:val="32"/>
          <w:szCs w:val="32"/>
        </w:rPr>
        <w:t>）</w:t>
      </w:r>
    </w:p>
    <w:p w14:paraId="49050721" w14:textId="77777777" w:rsidR="00453FF6" w:rsidRDefault="00453FF6">
      <w:pPr>
        <w:ind w:firstLine="640"/>
        <w:rPr>
          <w:rFonts w:ascii="微软雅黑" w:eastAsia="微软雅黑" w:hAnsi="微软雅黑" w:cs="微软雅黑"/>
          <w:sz w:val="32"/>
          <w:szCs w:val="32"/>
        </w:rPr>
      </w:pPr>
    </w:p>
    <w:p w14:paraId="60EF52C8" w14:textId="77777777" w:rsidR="00453FF6" w:rsidRDefault="00BF0DE7">
      <w:pPr>
        <w:pStyle w:val="2"/>
        <w:keepNext w:val="0"/>
        <w:keepLines w:val="0"/>
        <w:jc w:val="center"/>
        <w:rPr>
          <w:rFonts w:ascii="方正黑体_GBK" w:hAnsi="方正黑体_GBK" w:cs="方正黑体_GBK"/>
          <w:sz w:val="32"/>
          <w:szCs w:val="32"/>
        </w:rPr>
      </w:pPr>
      <w:r>
        <w:rPr>
          <w:rFonts w:ascii="方正黑体_GBK" w:hAnsi="方正黑体_GBK" w:cs="方正黑体_GBK" w:hint="eastAsia"/>
          <w:sz w:val="32"/>
          <w:szCs w:val="32"/>
        </w:rPr>
        <w:t>第一章</w:t>
      </w:r>
      <w:r>
        <w:rPr>
          <w:rFonts w:ascii="方正黑体_GBK" w:hAnsi="方正黑体_GBK" w:cs="方正黑体_GBK" w:hint="eastAsia"/>
          <w:sz w:val="32"/>
          <w:szCs w:val="32"/>
        </w:rPr>
        <w:t xml:space="preserve"> </w:t>
      </w:r>
      <w:r>
        <w:rPr>
          <w:rFonts w:ascii="方正黑体_GBK" w:hAnsi="方正黑体_GBK" w:cs="方正黑体_GBK" w:hint="eastAsia"/>
          <w:sz w:val="32"/>
          <w:szCs w:val="32"/>
        </w:rPr>
        <w:t>总</w:t>
      </w:r>
      <w:r>
        <w:rPr>
          <w:rFonts w:ascii="方正黑体_GBK" w:hAnsi="方正黑体_GBK" w:cs="方正黑体_GBK" w:hint="eastAsia"/>
          <w:sz w:val="32"/>
          <w:szCs w:val="32"/>
        </w:rPr>
        <w:t xml:space="preserve">  </w:t>
      </w:r>
      <w:r>
        <w:rPr>
          <w:rFonts w:ascii="方正黑体_GBK" w:hAnsi="方正黑体_GBK" w:cs="方正黑体_GBK" w:hint="eastAsia"/>
          <w:sz w:val="32"/>
          <w:szCs w:val="32"/>
        </w:rPr>
        <w:t>则</w:t>
      </w:r>
    </w:p>
    <w:p w14:paraId="58479BAB"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第一条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为了加强城市市容和环境卫生管理，规范车辆清洗经营性活动，根据《云南省曲靖城市管理条例》《云南省城市市容和环境卫生管理实施办法》，结合本市实际，制定本办法。</w:t>
      </w:r>
    </w:p>
    <w:p w14:paraId="4E2BE73B" w14:textId="77777777" w:rsidR="00453FF6" w:rsidRDefault="00BF0DE7">
      <w:pPr>
        <w:ind w:firstLineChars="200"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本办法适用于</w:t>
      </w:r>
      <w:r>
        <w:rPr>
          <w:rFonts w:ascii="Times New Roman" w:eastAsia="方正仿宋_GBK" w:hAnsi="Times New Roman" w:cs="微软雅黑" w:hint="eastAsia"/>
          <w:sz w:val="32"/>
          <w:szCs w:val="32"/>
        </w:rPr>
        <w:t>曲靖市</w:t>
      </w:r>
      <w:r>
        <w:rPr>
          <w:rFonts w:ascii="Times New Roman" w:eastAsia="方正仿宋_GBK" w:hAnsi="Times New Roman" w:cs="微软雅黑" w:hint="eastAsia"/>
          <w:sz w:val="32"/>
          <w:szCs w:val="32"/>
        </w:rPr>
        <w:t>城市规划区域内机动车洗车场的经营、管理、监督和服务等活动。</w:t>
      </w:r>
    </w:p>
    <w:p w14:paraId="0552A2CC" w14:textId="77777777" w:rsidR="00453FF6" w:rsidRDefault="00BF0DE7">
      <w:pPr>
        <w:ind w:firstLine="640"/>
        <w:rPr>
          <w:rFonts w:ascii="Times New Roman" w:eastAsia="方正仿宋_GBK" w:hAnsi="Times New Roman" w:cs="微软雅黑"/>
          <w:sz w:val="32"/>
          <w:szCs w:val="32"/>
          <w:shd w:val="clear" w:color="auto" w:fill="FFFFFF"/>
        </w:rPr>
      </w:pPr>
      <w:r>
        <w:rPr>
          <w:rFonts w:ascii="Times New Roman" w:eastAsia="方正仿宋_GBK" w:hAnsi="Times New Roman" w:cs="微软雅黑" w:hint="eastAsia"/>
          <w:b/>
          <w:bCs/>
          <w:sz w:val="32"/>
          <w:szCs w:val="32"/>
        </w:rPr>
        <w:t>第三条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本办法所称机动车洗车场，是指具备固定经营场所，配有与其经营规模相</w:t>
      </w:r>
      <w:r>
        <w:rPr>
          <w:rFonts w:ascii="Times New Roman" w:eastAsia="方正仿宋_GBK" w:hAnsi="Times New Roman" w:cs="微软雅黑" w:hint="eastAsia"/>
          <w:sz w:val="32"/>
          <w:szCs w:val="32"/>
          <w:shd w:val="clear" w:color="auto" w:fill="FFFFFF"/>
        </w:rPr>
        <w:t>适应的洗车美容设施设备及洗车用水、排水、污水处理等设施设备，从事机动车辆清洗保洁活动的场所。</w:t>
      </w:r>
    </w:p>
    <w:p w14:paraId="4E3C0FDA"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第四条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县（市、区）人民政府和曲靖</w:t>
      </w:r>
      <w:r>
        <w:rPr>
          <w:rFonts w:ascii="Times New Roman" w:eastAsia="方正仿宋_GBK" w:hAnsi="Times New Roman" w:cs="微软雅黑" w:hint="eastAsia"/>
          <w:sz w:val="32"/>
          <w:szCs w:val="32"/>
        </w:rPr>
        <w:t>经开区管理委员会</w:t>
      </w:r>
      <w:r>
        <w:rPr>
          <w:rFonts w:ascii="Times New Roman" w:eastAsia="方正仿宋_GBK" w:hAnsi="Times New Roman" w:cs="微软雅黑" w:hint="eastAsia"/>
          <w:sz w:val="32"/>
          <w:szCs w:val="32"/>
        </w:rPr>
        <w:t>应当加强对机动车洗车场管理工作的领导，培育和扶持机动车洗车行业的发展，鼓励机动车洗车场经营者投资建设科技创新型、节约环保型洗车系统。</w:t>
      </w:r>
    </w:p>
    <w:p w14:paraId="7138EA52"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第五条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机动车洗车场管理实行属地为主、条块结合的监管原则。</w:t>
      </w:r>
    </w:p>
    <w:p w14:paraId="2F823A9C" w14:textId="77777777" w:rsidR="00453FF6" w:rsidRDefault="00BF0DE7">
      <w:pPr>
        <w:ind w:firstLine="60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lastRenderedPageBreak/>
        <w:t>城市综合管理部门是经营性机动车洗车行业的主管部门</w:t>
      </w:r>
      <w:r>
        <w:rPr>
          <w:rFonts w:ascii="Times New Roman" w:eastAsia="方正仿宋_GBK" w:hAnsi="Times New Roman" w:cs="微软雅黑" w:hint="eastAsia"/>
          <w:sz w:val="32"/>
          <w:szCs w:val="32"/>
        </w:rPr>
        <w:t>,</w:t>
      </w:r>
      <w:r>
        <w:rPr>
          <w:rFonts w:ascii="Times New Roman" w:eastAsia="方正仿宋_GBK" w:hAnsi="Times New Roman" w:cs="微软雅黑" w:hint="eastAsia"/>
          <w:sz w:val="32"/>
          <w:szCs w:val="32"/>
        </w:rPr>
        <w:t>负责机动车洗车场的日常监督管理和服务工作。</w:t>
      </w:r>
    </w:p>
    <w:p w14:paraId="320F3F06"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自然资源、规划、生态环境、公安、住建、发改、市场监管、交通运输、水务</w:t>
      </w:r>
      <w:r>
        <w:rPr>
          <w:rFonts w:ascii="Times New Roman" w:eastAsia="方正仿宋_GBK" w:hAnsi="Times New Roman" w:cs="微软雅黑" w:hint="eastAsia"/>
          <w:sz w:val="32"/>
          <w:szCs w:val="32"/>
        </w:rPr>
        <w:t>等部门及街道办事处按照各自职责，共同做好对机动车洗车场的监督管理工作。</w:t>
      </w:r>
    </w:p>
    <w:p w14:paraId="0DF1A68B"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第六条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机动车洗车场的开办和经营应当实行统筹规划、合理布局、安全适用、节约用水、节能环保的原则。</w:t>
      </w:r>
    </w:p>
    <w:p w14:paraId="0A8EE26A" w14:textId="77777777" w:rsidR="00453FF6" w:rsidRDefault="00BF0DE7">
      <w:pPr>
        <w:ind w:firstLine="60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第七条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机动车洗车服务行业协会应当加强行业自律，制定清洗服务规范，协助做好机动车洗车场的相关管理工作。</w:t>
      </w:r>
    </w:p>
    <w:p w14:paraId="2690ADAA" w14:textId="77777777" w:rsidR="00453FF6" w:rsidRDefault="00453FF6">
      <w:pPr>
        <w:pStyle w:val="2"/>
        <w:keepNext w:val="0"/>
        <w:keepLines w:val="0"/>
        <w:jc w:val="center"/>
        <w:rPr>
          <w:rFonts w:ascii="Times New Roman" w:eastAsia="方正仿宋_GBK" w:hAnsi="Times New Roman" w:cs="微软雅黑"/>
          <w:sz w:val="32"/>
          <w:szCs w:val="32"/>
        </w:rPr>
      </w:pPr>
    </w:p>
    <w:p w14:paraId="17630C3B" w14:textId="77777777" w:rsidR="00453FF6" w:rsidRDefault="00BF0DE7">
      <w:pPr>
        <w:pStyle w:val="2"/>
        <w:keepNext w:val="0"/>
        <w:keepLines w:val="0"/>
        <w:jc w:val="center"/>
        <w:rPr>
          <w:rFonts w:ascii="Times New Roman" w:eastAsia="方正仿宋_GBK" w:hAnsi="Times New Roman" w:cs="微软雅黑"/>
          <w:sz w:val="32"/>
          <w:szCs w:val="32"/>
        </w:rPr>
      </w:pPr>
      <w:r>
        <w:rPr>
          <w:rFonts w:ascii="方正黑体_GBK" w:hAnsi="方正黑体_GBK" w:cs="方正黑体_GBK" w:hint="eastAsia"/>
          <w:sz w:val="32"/>
          <w:szCs w:val="32"/>
        </w:rPr>
        <w:t>第二章</w:t>
      </w:r>
      <w:r>
        <w:rPr>
          <w:rFonts w:ascii="方正黑体_GBK" w:hAnsi="方正黑体_GBK" w:cs="方正黑体_GBK" w:hint="eastAsia"/>
          <w:sz w:val="32"/>
          <w:szCs w:val="32"/>
        </w:rPr>
        <w:t xml:space="preserve"> </w:t>
      </w:r>
      <w:r>
        <w:rPr>
          <w:rFonts w:ascii="方正黑体_GBK" w:hAnsi="方正黑体_GBK" w:cs="方正黑体_GBK" w:hint="eastAsia"/>
          <w:sz w:val="32"/>
          <w:szCs w:val="32"/>
        </w:rPr>
        <w:t>规划和开办条件</w:t>
      </w:r>
    </w:p>
    <w:p w14:paraId="4DD8F31F"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第八条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市自然资源和规划部门负责统筹、指导、督促有关行业主管部门，依据城市总体规划和综合交通发展规划，以及城市建设的需要，编制本市中心城市机动车洗车场专项规划，报市人民政府批准后公布实施。</w:t>
      </w:r>
    </w:p>
    <w:p w14:paraId="16F3D53D"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第九条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禁止在下列区域开办机动车洗车场：</w:t>
      </w:r>
    </w:p>
    <w:p w14:paraId="23484AFF"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（一）居民住宅楼内；</w:t>
      </w:r>
    </w:p>
    <w:p w14:paraId="2771D734"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（二）城市快速路、主干道两侧红线控制区域范围内；</w:t>
      </w:r>
    </w:p>
    <w:p w14:paraId="5559B311"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（三）交通拥挤地段和车流量较大的道路交叉口；</w:t>
      </w:r>
    </w:p>
    <w:p w14:paraId="6D377076"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（四）风景名胜和文物保护核心区、水资源保护区内；</w:t>
      </w:r>
    </w:p>
    <w:p w14:paraId="02E23E2E"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（五）非经专门设计、改造用于机动车清洗服务经营的临街商铺；</w:t>
      </w:r>
    </w:p>
    <w:p w14:paraId="3C781FFC"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lastRenderedPageBreak/>
        <w:t>（六）其他法律、法规、规章禁止开办机动车洗车场的区域。</w:t>
      </w:r>
    </w:p>
    <w:p w14:paraId="676FE601"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w:t>
      </w:r>
      <w:r>
        <w:rPr>
          <w:rFonts w:ascii="Times New Roman" w:eastAsia="方正仿宋_GBK" w:hAnsi="Times New Roman" w:cs="微软雅黑" w:hint="eastAsia"/>
          <w:b/>
          <w:bCs/>
          <w:sz w:val="32"/>
          <w:szCs w:val="32"/>
        </w:rPr>
        <w:t>十条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开办机动车洗车场应当具备以下条件：</w:t>
      </w:r>
    </w:p>
    <w:p w14:paraId="4AD7B4F1"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w:t>
      </w:r>
      <w:r>
        <w:rPr>
          <w:rFonts w:ascii="Times New Roman" w:eastAsia="方正仿宋_GBK" w:hAnsi="Times New Roman" w:cs="微软雅黑" w:hint="eastAsia"/>
          <w:sz w:val="32"/>
          <w:szCs w:val="32"/>
        </w:rPr>
        <w:t>一</w:t>
      </w:r>
      <w:r>
        <w:rPr>
          <w:rFonts w:ascii="Times New Roman" w:eastAsia="方正仿宋_GBK" w:hAnsi="Times New Roman" w:cs="微软雅黑" w:hint="eastAsia"/>
          <w:sz w:val="32"/>
          <w:szCs w:val="32"/>
        </w:rPr>
        <w:t>）有满足洗车经营服务的场地、设施设备；</w:t>
      </w:r>
    </w:p>
    <w:p w14:paraId="50454FB3"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w:t>
      </w:r>
      <w:r>
        <w:rPr>
          <w:rFonts w:ascii="Times New Roman" w:eastAsia="方正仿宋_GBK" w:hAnsi="Times New Roman" w:cs="微软雅黑" w:hint="eastAsia"/>
          <w:sz w:val="32"/>
          <w:szCs w:val="32"/>
        </w:rPr>
        <w:t>二</w:t>
      </w:r>
      <w:r>
        <w:rPr>
          <w:rFonts w:ascii="Times New Roman" w:eastAsia="方正仿宋_GBK" w:hAnsi="Times New Roman" w:cs="微软雅黑" w:hint="eastAsia"/>
          <w:sz w:val="32"/>
          <w:szCs w:val="32"/>
        </w:rPr>
        <w:t>）有与经营规模相适应的清洗服务从业人员；</w:t>
      </w:r>
    </w:p>
    <w:p w14:paraId="0E0F712E"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w:t>
      </w:r>
      <w:r>
        <w:rPr>
          <w:rFonts w:ascii="Times New Roman" w:eastAsia="方正仿宋_GBK" w:hAnsi="Times New Roman" w:cs="微软雅黑" w:hint="eastAsia"/>
          <w:sz w:val="32"/>
          <w:szCs w:val="32"/>
        </w:rPr>
        <w:t>三</w:t>
      </w:r>
      <w:r>
        <w:rPr>
          <w:rFonts w:ascii="Times New Roman" w:eastAsia="方正仿宋_GBK" w:hAnsi="Times New Roman" w:cs="微软雅黑" w:hint="eastAsia"/>
          <w:sz w:val="32"/>
          <w:szCs w:val="32"/>
        </w:rPr>
        <w:t>）有完善的内部管理制度、作业章程和操作规范；</w:t>
      </w:r>
    </w:p>
    <w:p w14:paraId="01759B73"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w:t>
      </w:r>
      <w:r>
        <w:rPr>
          <w:rFonts w:ascii="Times New Roman" w:eastAsia="方正仿宋_GBK" w:hAnsi="Times New Roman" w:cs="微软雅黑" w:hint="eastAsia"/>
          <w:sz w:val="32"/>
          <w:szCs w:val="32"/>
        </w:rPr>
        <w:t>四</w:t>
      </w:r>
      <w:r>
        <w:rPr>
          <w:rFonts w:ascii="Times New Roman" w:eastAsia="方正仿宋_GBK" w:hAnsi="Times New Roman" w:cs="微软雅黑" w:hint="eastAsia"/>
          <w:sz w:val="32"/>
          <w:szCs w:val="32"/>
        </w:rPr>
        <w:t>）符合市场监督管理、城市道路管理、环保、给排水、节水、环境卫生等行业管理单位的相关要求。</w:t>
      </w:r>
    </w:p>
    <w:p w14:paraId="17D944ED"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第十一条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洗车场应划分洗车区、擦车区与等候区。</w:t>
      </w:r>
      <w:proofErr w:type="gramStart"/>
      <w:r>
        <w:rPr>
          <w:rFonts w:ascii="Times New Roman" w:eastAsia="方正仿宋_GBK" w:hAnsi="Times New Roman" w:cs="微软雅黑" w:hint="eastAsia"/>
          <w:sz w:val="32"/>
          <w:szCs w:val="32"/>
        </w:rPr>
        <w:t>洗车区</w:t>
      </w:r>
      <w:proofErr w:type="gramEnd"/>
      <w:r>
        <w:rPr>
          <w:rFonts w:ascii="Times New Roman" w:eastAsia="方正仿宋_GBK" w:hAnsi="Times New Roman" w:cs="微软雅黑" w:hint="eastAsia"/>
          <w:sz w:val="32"/>
          <w:szCs w:val="32"/>
        </w:rPr>
        <w:t>应当设置在室内或者封闭场地内，采用防渗漏硬化地面，并设置截水沟。</w:t>
      </w:r>
    </w:p>
    <w:p w14:paraId="0535E9C8"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机动车洗车场应当使用再生水或者安装使用循环水设施、节水型清洗设备，安装满足环保要求的污染治理设施并配备与其经营规模相适</w:t>
      </w:r>
      <w:r>
        <w:rPr>
          <w:rFonts w:ascii="Times New Roman" w:eastAsia="方正仿宋_GBK" w:hAnsi="Times New Roman" w:cs="微软雅黑" w:hint="eastAsia"/>
          <w:sz w:val="32"/>
          <w:szCs w:val="32"/>
        </w:rPr>
        <w:t>应的清洗、沉淀、回收等设施设备。</w:t>
      </w:r>
    </w:p>
    <w:p w14:paraId="005646AF"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机动车洗车场的平面布置及设备设施应当符合《机动车清洗站技术规范》（</w:t>
      </w:r>
      <w:r>
        <w:rPr>
          <w:rFonts w:ascii="Times New Roman" w:eastAsia="方正仿宋_GBK" w:hAnsi="Times New Roman" w:cs="微软雅黑" w:hint="eastAsia"/>
          <w:sz w:val="32"/>
          <w:szCs w:val="32"/>
        </w:rPr>
        <w:t>CJJ/T 71-2011</w:t>
      </w:r>
      <w:r>
        <w:rPr>
          <w:rFonts w:ascii="Times New Roman" w:eastAsia="方正仿宋_GBK" w:hAnsi="Times New Roman" w:cs="微软雅黑" w:hint="eastAsia"/>
          <w:sz w:val="32"/>
          <w:szCs w:val="32"/>
        </w:rPr>
        <w:t>）的相关要求。</w:t>
      </w:r>
    </w:p>
    <w:p w14:paraId="08E25911" w14:textId="77777777" w:rsidR="00453FF6" w:rsidRDefault="00453FF6">
      <w:pPr>
        <w:rPr>
          <w:rFonts w:ascii="Times New Roman" w:eastAsia="方正仿宋_GBK" w:hAnsi="Times New Roman" w:cs="微软雅黑"/>
          <w:sz w:val="32"/>
          <w:szCs w:val="32"/>
        </w:rPr>
      </w:pPr>
    </w:p>
    <w:p w14:paraId="6E7FA6D2" w14:textId="77777777" w:rsidR="00453FF6" w:rsidRDefault="00BF0DE7">
      <w:pPr>
        <w:pStyle w:val="2"/>
        <w:keepNext w:val="0"/>
        <w:keepLines w:val="0"/>
        <w:jc w:val="center"/>
        <w:rPr>
          <w:rFonts w:ascii="方正黑体_GBK" w:hAnsi="方正黑体_GBK" w:cs="方正黑体_GBK"/>
          <w:sz w:val="32"/>
          <w:szCs w:val="32"/>
        </w:rPr>
      </w:pPr>
      <w:r>
        <w:rPr>
          <w:rFonts w:ascii="方正黑体_GBK" w:hAnsi="方正黑体_GBK" w:cs="方正黑体_GBK" w:hint="eastAsia"/>
          <w:sz w:val="32"/>
          <w:szCs w:val="32"/>
        </w:rPr>
        <w:t>第三章</w:t>
      </w:r>
      <w:r>
        <w:rPr>
          <w:rFonts w:ascii="方正黑体_GBK" w:hAnsi="方正黑体_GBK" w:cs="方正黑体_GBK" w:hint="eastAsia"/>
          <w:sz w:val="32"/>
          <w:szCs w:val="32"/>
        </w:rPr>
        <w:t xml:space="preserve"> </w:t>
      </w:r>
      <w:r>
        <w:rPr>
          <w:rFonts w:ascii="方正黑体_GBK" w:hAnsi="方正黑体_GBK" w:cs="方正黑体_GBK" w:hint="eastAsia"/>
          <w:sz w:val="32"/>
          <w:szCs w:val="32"/>
          <w:shd w:val="clear" w:color="auto" w:fill="FFFFFF"/>
        </w:rPr>
        <w:t xml:space="preserve"> </w:t>
      </w:r>
      <w:r>
        <w:rPr>
          <w:rFonts w:ascii="方正黑体_GBK" w:hAnsi="方正黑体_GBK" w:cs="方正黑体_GBK" w:hint="eastAsia"/>
          <w:sz w:val="32"/>
          <w:szCs w:val="32"/>
          <w:shd w:val="clear" w:color="auto" w:fill="FFFFFF"/>
        </w:rPr>
        <w:t>设置</w:t>
      </w:r>
      <w:r>
        <w:rPr>
          <w:rFonts w:ascii="方正黑体_GBK" w:hAnsi="方正黑体_GBK" w:cs="方正黑体_GBK" w:hint="eastAsia"/>
          <w:sz w:val="32"/>
          <w:szCs w:val="32"/>
        </w:rPr>
        <w:t>管理</w:t>
      </w:r>
    </w:p>
    <w:p w14:paraId="322FBB5B"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第十二条</w:t>
      </w:r>
      <w:r>
        <w:rPr>
          <w:rFonts w:ascii="Times New Roman" w:eastAsia="方正仿宋_GBK" w:hAnsi="Times New Roman" w:cs="微软雅黑" w:hint="eastAsia"/>
          <w:bCs/>
          <w:sz w:val="32"/>
          <w:szCs w:val="32"/>
        </w:rPr>
        <w:t xml:space="preserve">  </w:t>
      </w:r>
      <w:r>
        <w:rPr>
          <w:rFonts w:ascii="Times New Roman" w:eastAsia="方正仿宋_GBK" w:hAnsi="Times New Roman" w:cs="微软雅黑" w:hint="eastAsia"/>
          <w:sz w:val="32"/>
          <w:szCs w:val="32"/>
        </w:rPr>
        <w:t>登记机关</w:t>
      </w:r>
      <w:r>
        <w:rPr>
          <w:rFonts w:ascii="Times New Roman" w:eastAsia="方正仿宋_GBK" w:hAnsi="Times New Roman" w:cs="微软雅黑" w:hint="eastAsia"/>
          <w:sz w:val="32"/>
          <w:szCs w:val="32"/>
        </w:rPr>
        <w:t>在核发营业执照后，应当及时将登记信息告知后续主管、监管部门，由城市综合管理部门会同自然资源和规划、住房和城乡建设、生态环境、公安交通管理、交通运输、水务等部门对机动车洗车场经营场地、设施</w:t>
      </w:r>
      <w:r>
        <w:rPr>
          <w:rFonts w:ascii="Times New Roman" w:eastAsia="方正仿宋_GBK" w:hAnsi="Times New Roman" w:cs="微软雅黑" w:hint="eastAsia"/>
          <w:sz w:val="32"/>
          <w:szCs w:val="32"/>
        </w:rPr>
        <w:lastRenderedPageBreak/>
        <w:t>进行现场核实。核实主要内容包括设置选址、设置标准、用电系统、用水节水、排水设施等是否符合要求。不符合开办条件的，应当立即通知其整改，并告知相关主管部门依法管理。</w:t>
      </w:r>
    </w:p>
    <w:p w14:paraId="6C3368C0"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第十三条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从事机动车清洗服务经营的，应当向属地城市综合管理部门</w:t>
      </w:r>
      <w:r>
        <w:rPr>
          <w:rFonts w:ascii="Times New Roman" w:eastAsia="方正仿宋_GBK" w:hAnsi="Times New Roman" w:cs="微软雅黑" w:hint="eastAsia"/>
          <w:sz w:val="32"/>
          <w:szCs w:val="32"/>
        </w:rPr>
        <w:t>备案</w:t>
      </w:r>
      <w:r>
        <w:rPr>
          <w:rFonts w:ascii="Times New Roman" w:eastAsia="方正仿宋_GBK" w:hAnsi="Times New Roman" w:cs="微软雅黑" w:hint="eastAsia"/>
          <w:sz w:val="32"/>
          <w:szCs w:val="32"/>
        </w:rPr>
        <w:t>。备案时应当提交下列材料：</w:t>
      </w:r>
    </w:p>
    <w:p w14:paraId="0B466DA9"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（一）机动车洗车场备案登记表；</w:t>
      </w:r>
    </w:p>
    <w:p w14:paraId="27E9B30E"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（二）营业执照及城市道路开口、绿化带破</w:t>
      </w:r>
      <w:r>
        <w:rPr>
          <w:rFonts w:ascii="Times New Roman" w:eastAsia="方正仿宋_GBK" w:hAnsi="Times New Roman" w:cs="微软雅黑" w:hint="eastAsia"/>
          <w:sz w:val="32"/>
          <w:szCs w:val="32"/>
        </w:rPr>
        <w:t>损、供排水等部门的有关批准文件或者审查意见；</w:t>
      </w:r>
    </w:p>
    <w:p w14:paraId="4B86DE93"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（三）负责人身份证明及其复印件及从业人员名单；</w:t>
      </w:r>
    </w:p>
    <w:p w14:paraId="101599FA"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（四）经营场所产权证明或合法租用证明及复印件；</w:t>
      </w:r>
    </w:p>
    <w:p w14:paraId="27C0C6DE"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（五）设施设备表；</w:t>
      </w:r>
    </w:p>
    <w:p w14:paraId="2999EB39"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（六）安全生产责任书、企业内部管理制度、作业章程和操作规范；</w:t>
      </w:r>
    </w:p>
    <w:p w14:paraId="10E1A282"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第十四条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备案事项发生变更的，应当自变更之日起</w:t>
      </w:r>
      <w:r>
        <w:rPr>
          <w:rFonts w:ascii="Times New Roman" w:eastAsia="方正仿宋_GBK" w:hAnsi="Times New Roman" w:cs="微软雅黑" w:hint="eastAsia"/>
          <w:sz w:val="32"/>
          <w:szCs w:val="32"/>
        </w:rPr>
        <w:t>15</w:t>
      </w:r>
      <w:r>
        <w:rPr>
          <w:rFonts w:ascii="Times New Roman" w:eastAsia="方正仿宋_GBK" w:hAnsi="Times New Roman" w:cs="微软雅黑" w:hint="eastAsia"/>
          <w:sz w:val="32"/>
          <w:szCs w:val="32"/>
        </w:rPr>
        <w:t>日内向属地城市综合管理部门办理变更备案手续。</w:t>
      </w:r>
    </w:p>
    <w:p w14:paraId="3B23FC91" w14:textId="77777777" w:rsidR="00453FF6" w:rsidRDefault="00BF0DE7">
      <w:pPr>
        <w:ind w:firstLineChars="200"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第十五条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经营者终止经营的，应当在终止经营</w:t>
      </w:r>
      <w:r>
        <w:rPr>
          <w:rFonts w:ascii="Times New Roman" w:eastAsia="方正仿宋_GBK" w:hAnsi="Times New Roman" w:cs="微软雅黑" w:hint="eastAsia"/>
          <w:sz w:val="32"/>
          <w:szCs w:val="32"/>
        </w:rPr>
        <w:t>60</w:t>
      </w:r>
      <w:r>
        <w:rPr>
          <w:rFonts w:ascii="Times New Roman" w:eastAsia="方正仿宋_GBK" w:hAnsi="Times New Roman" w:cs="微软雅黑" w:hint="eastAsia"/>
          <w:sz w:val="32"/>
          <w:szCs w:val="32"/>
        </w:rPr>
        <w:t>日前通过公告、电话、</w:t>
      </w:r>
      <w:proofErr w:type="gramStart"/>
      <w:r>
        <w:rPr>
          <w:rFonts w:ascii="Times New Roman" w:eastAsia="方正仿宋_GBK" w:hAnsi="Times New Roman" w:cs="微软雅黑" w:hint="eastAsia"/>
          <w:sz w:val="32"/>
          <w:szCs w:val="32"/>
        </w:rPr>
        <w:t>微信等</w:t>
      </w:r>
      <w:proofErr w:type="gramEnd"/>
      <w:r>
        <w:rPr>
          <w:rFonts w:ascii="Times New Roman" w:eastAsia="方正仿宋_GBK" w:hAnsi="Times New Roman" w:cs="微软雅黑" w:hint="eastAsia"/>
          <w:sz w:val="32"/>
          <w:szCs w:val="32"/>
        </w:rPr>
        <w:t>方式告知消费者并办理退费等终止经营事宜。</w:t>
      </w:r>
    </w:p>
    <w:p w14:paraId="6E9D0803" w14:textId="77777777" w:rsidR="00453FF6" w:rsidRDefault="00453FF6">
      <w:pPr>
        <w:pStyle w:val="2"/>
        <w:keepNext w:val="0"/>
        <w:keepLines w:val="0"/>
        <w:rPr>
          <w:rFonts w:ascii="Times New Roman" w:eastAsia="方正仿宋_GBK" w:hAnsi="Times New Roman" w:cs="微软雅黑"/>
          <w:sz w:val="32"/>
          <w:szCs w:val="32"/>
        </w:rPr>
      </w:pPr>
    </w:p>
    <w:p w14:paraId="194943EB" w14:textId="77777777" w:rsidR="00453FF6" w:rsidRDefault="00BF0DE7">
      <w:pPr>
        <w:pStyle w:val="2"/>
        <w:keepNext w:val="0"/>
        <w:keepLines w:val="0"/>
        <w:jc w:val="center"/>
        <w:rPr>
          <w:rFonts w:ascii="方正黑体_GBK" w:hAnsi="方正黑体_GBK" w:cs="方正黑体_GBK"/>
          <w:sz w:val="32"/>
          <w:szCs w:val="32"/>
        </w:rPr>
      </w:pPr>
      <w:r>
        <w:rPr>
          <w:rFonts w:ascii="方正黑体_GBK" w:hAnsi="方正黑体_GBK" w:cs="方正黑体_GBK" w:hint="eastAsia"/>
          <w:sz w:val="32"/>
          <w:szCs w:val="32"/>
        </w:rPr>
        <w:t>第四章</w:t>
      </w:r>
      <w:r>
        <w:rPr>
          <w:rFonts w:ascii="方正黑体_GBK" w:hAnsi="方正黑体_GBK" w:cs="方正黑体_GBK" w:hint="eastAsia"/>
          <w:sz w:val="32"/>
          <w:szCs w:val="32"/>
        </w:rPr>
        <w:t xml:space="preserve"> </w:t>
      </w:r>
      <w:r>
        <w:rPr>
          <w:rFonts w:ascii="方正黑体_GBK" w:hAnsi="方正黑体_GBK" w:cs="方正黑体_GBK" w:hint="eastAsia"/>
          <w:sz w:val="32"/>
          <w:szCs w:val="32"/>
        </w:rPr>
        <w:t>经营服务</w:t>
      </w:r>
    </w:p>
    <w:p w14:paraId="2ABF4658"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第十六条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机动车洗车场经营者在经营过程中应当遵守</w:t>
      </w:r>
      <w:r>
        <w:rPr>
          <w:rFonts w:ascii="Times New Roman" w:eastAsia="方正仿宋_GBK" w:hAnsi="Times New Roman" w:cs="微软雅黑" w:hint="eastAsia"/>
          <w:sz w:val="32"/>
          <w:szCs w:val="32"/>
        </w:rPr>
        <w:lastRenderedPageBreak/>
        <w:t>下列规定：</w:t>
      </w:r>
    </w:p>
    <w:p w14:paraId="06FA6BC0"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（一）遵守有关法律、法规及规章规定，诚实守信经营；</w:t>
      </w:r>
    </w:p>
    <w:p w14:paraId="500446B1" w14:textId="77777777" w:rsidR="00453FF6" w:rsidRDefault="00BF0DE7">
      <w:pPr>
        <w:pStyle w:val="a6"/>
        <w:spacing w:beforeAutospacing="0" w:afterAutospacing="0"/>
        <w:ind w:firstLine="640"/>
        <w:rPr>
          <w:rFonts w:ascii="Times New Roman" w:eastAsia="方正仿宋_GBK" w:hAnsi="Times New Roman" w:cs="微软雅黑"/>
          <w:sz w:val="32"/>
          <w:szCs w:val="32"/>
        </w:rPr>
      </w:pPr>
      <w:r>
        <w:rPr>
          <w:rFonts w:ascii="Times New Roman" w:eastAsia="方正仿宋_GBK" w:hAnsi="Times New Roman" w:cs="微软雅黑" w:hint="eastAsia"/>
          <w:kern w:val="2"/>
          <w:sz w:val="32"/>
          <w:szCs w:val="32"/>
        </w:rPr>
        <w:t>（二）设置机动车洗车场应当具有符合规定的与洗车规模相适应的机动车停放场地，规范车辆停放秩序。</w:t>
      </w:r>
    </w:p>
    <w:p w14:paraId="4F18D901"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（三）洗车、擦车及其他机动车美容服务活动应当在室内或者封闭场地内进行，不得占用道路、绿化带或者其他公共场地，不得占道堆放物品；</w:t>
      </w:r>
    </w:p>
    <w:p w14:paraId="0749DA00"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（四）保持工作场所周围环境卫生整洁，污水不得外流；</w:t>
      </w:r>
    </w:p>
    <w:p w14:paraId="373CF549"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（五）使用符合环保要求的洗涤剂等产品，确保循环水设施、污染治理设施、节水型清洗设备正常运行使用；</w:t>
      </w:r>
    </w:p>
    <w:p w14:paraId="389ACFB5"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（六）洗车污水须达到国家或者地方规定</w:t>
      </w:r>
      <w:r>
        <w:rPr>
          <w:rFonts w:ascii="Times New Roman" w:eastAsia="方正仿宋_GBK" w:hAnsi="Times New Roman" w:cs="微软雅黑" w:hint="eastAsia"/>
          <w:sz w:val="32"/>
          <w:szCs w:val="32"/>
        </w:rPr>
        <w:t>的有关排放标准，并排入污水管网；</w:t>
      </w:r>
    </w:p>
    <w:p w14:paraId="261F1298"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（七）定期清疏、维护污水收集管网和污水处理设施，确保排水通畅和水质达标。</w:t>
      </w:r>
    </w:p>
    <w:p w14:paraId="111921C5"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第十七条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机动车洗车场洗车用水应当符合供排水主管部门的规定，依法办理洗车用水手续。禁止从公共绿地和消防栓等公共设施的供水管道取水或者非法使用河流及地下水资源进行机动车清洗服务。</w:t>
      </w:r>
    </w:p>
    <w:p w14:paraId="0C314029"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w:t>
      </w:r>
      <w:r>
        <w:rPr>
          <w:rFonts w:ascii="Times New Roman" w:eastAsia="方正仿宋_GBK" w:hAnsi="Times New Roman" w:cs="微软雅黑" w:hint="eastAsia"/>
          <w:b/>
          <w:bCs/>
          <w:sz w:val="32"/>
          <w:szCs w:val="32"/>
        </w:rPr>
        <w:t>八</w:t>
      </w:r>
      <w:r>
        <w:rPr>
          <w:rFonts w:ascii="Times New Roman" w:eastAsia="方正仿宋_GBK" w:hAnsi="Times New Roman" w:cs="微软雅黑" w:hint="eastAsia"/>
          <w:b/>
          <w:bCs/>
          <w:sz w:val="32"/>
          <w:szCs w:val="32"/>
        </w:rPr>
        <w:t>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机动车清洗服务实行市场调节价，由机动车洗车场经营者自主定价。</w:t>
      </w:r>
    </w:p>
    <w:p w14:paraId="58772435"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机动车清洗服务经营者应当严格执行明码标价规定，在醒目位置悬挂收费公示牌，公示服务收费项目、收费标准等</w:t>
      </w:r>
      <w:r>
        <w:rPr>
          <w:rFonts w:ascii="Times New Roman" w:eastAsia="方正仿宋_GBK" w:hAnsi="Times New Roman" w:cs="微软雅黑" w:hint="eastAsia"/>
          <w:sz w:val="32"/>
          <w:szCs w:val="32"/>
        </w:rPr>
        <w:lastRenderedPageBreak/>
        <w:t>内容。</w:t>
      </w:r>
    </w:p>
    <w:p w14:paraId="6DB4F1BF" w14:textId="77777777" w:rsidR="00453FF6" w:rsidRDefault="00BF0DE7">
      <w:pPr>
        <w:pStyle w:val="2"/>
        <w:keepNext w:val="0"/>
        <w:keepLines w:val="0"/>
        <w:jc w:val="center"/>
        <w:rPr>
          <w:rFonts w:ascii="方正黑体_GBK" w:hAnsi="方正黑体_GBK" w:cs="方正黑体_GBK"/>
          <w:sz w:val="32"/>
          <w:szCs w:val="32"/>
        </w:rPr>
      </w:pPr>
      <w:r>
        <w:rPr>
          <w:rFonts w:ascii="方正黑体_GBK" w:hAnsi="方正黑体_GBK" w:cs="方正黑体_GBK" w:hint="eastAsia"/>
          <w:sz w:val="32"/>
          <w:szCs w:val="32"/>
        </w:rPr>
        <w:t>第五章</w:t>
      </w:r>
      <w:r>
        <w:rPr>
          <w:rFonts w:ascii="方正黑体_GBK" w:hAnsi="方正黑体_GBK" w:cs="方正黑体_GBK" w:hint="eastAsia"/>
          <w:sz w:val="32"/>
          <w:szCs w:val="32"/>
        </w:rPr>
        <w:t xml:space="preserve"> </w:t>
      </w:r>
      <w:r>
        <w:rPr>
          <w:rFonts w:ascii="方正黑体_GBK" w:hAnsi="方正黑体_GBK" w:cs="方正黑体_GBK" w:hint="eastAsia"/>
          <w:sz w:val="32"/>
          <w:szCs w:val="32"/>
          <w:shd w:val="clear" w:color="auto" w:fill="FFFFFF"/>
        </w:rPr>
        <w:t>监督检查</w:t>
      </w:r>
    </w:p>
    <w:p w14:paraId="51AB2D30"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第十</w:t>
      </w:r>
      <w:r>
        <w:rPr>
          <w:rFonts w:ascii="Times New Roman" w:eastAsia="方正仿宋_GBK" w:hAnsi="Times New Roman" w:cs="微软雅黑" w:hint="eastAsia"/>
          <w:b/>
          <w:bCs/>
          <w:sz w:val="32"/>
          <w:szCs w:val="32"/>
        </w:rPr>
        <w:t>九</w:t>
      </w:r>
      <w:r>
        <w:rPr>
          <w:rFonts w:ascii="Times New Roman" w:eastAsia="方正仿宋_GBK" w:hAnsi="Times New Roman" w:cs="微软雅黑" w:hint="eastAsia"/>
          <w:b/>
          <w:bCs/>
          <w:sz w:val="32"/>
          <w:szCs w:val="32"/>
        </w:rPr>
        <w:t>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城市综合管理部门应当履行对机动车洗车场经营活动的监督检查职责。</w:t>
      </w:r>
    </w:p>
    <w:p w14:paraId="2EF16D92"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机动车洗车场经营者应当接受依法实施的监督检查，如实提供有关资料或者情况。</w:t>
      </w:r>
    </w:p>
    <w:p w14:paraId="7F05396D"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在本办法实施前已投入运营且不符合本办法规定的机动车洗车场，由有关部门责令限期整改，整改后仍达不到条件的，由城市综合管理部门组织联合执法进行清理整顿，按以下办法处理：</w:t>
      </w:r>
    </w:p>
    <w:p w14:paraId="0678FE11" w14:textId="77777777" w:rsidR="00453FF6" w:rsidRDefault="00BF0DE7">
      <w:pPr>
        <w:ind w:firstLine="60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依法应取得而未取得环保、水务、交通、市场监管、住建等相关行政管理部门许可且不符合城市规划、环境卫生专项规划和建场条件而开办的洗车场，不能补办相关许可手续的，由城市综合管理部门会同住建、公安、交通、环保、工商、水务等有关部门依法取缔。</w:t>
      </w:r>
    </w:p>
    <w:p w14:paraId="6AB78234" w14:textId="77777777" w:rsidR="00453FF6" w:rsidRDefault="00BF0DE7">
      <w:pPr>
        <w:ind w:firstLine="60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（二）依法应取得而未取得环保、水务、交通、市场监管、住建等相关行政管理部门许可但符合城市规划、环境卫生</w:t>
      </w:r>
      <w:r>
        <w:rPr>
          <w:rFonts w:ascii="Times New Roman" w:eastAsia="方正仿宋_GBK" w:hAnsi="Times New Roman" w:cs="微软雅黑" w:hint="eastAsia"/>
          <w:sz w:val="32"/>
          <w:szCs w:val="32"/>
        </w:rPr>
        <w:t>专项规划和建场条件的洗车场，可以补办相关许可手续的，由城市综合管理部门会同住建、公安、交通、环保、市场监管、水务等有关部门规定时间，限期补办有关许可手续。</w:t>
      </w:r>
    </w:p>
    <w:p w14:paraId="1D0AEF4B" w14:textId="77777777" w:rsidR="00453FF6" w:rsidRDefault="00BF0DE7">
      <w:pPr>
        <w:ind w:firstLine="60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（三）经批准开办但不符合建场条件、存在违法经营行为、管理混乱的洗车场，由城管部门组织相应的部门依法责</w:t>
      </w:r>
      <w:r>
        <w:rPr>
          <w:rFonts w:ascii="Times New Roman" w:eastAsia="方正仿宋_GBK" w:hAnsi="Times New Roman" w:cs="微软雅黑" w:hint="eastAsia"/>
          <w:sz w:val="32"/>
          <w:szCs w:val="32"/>
        </w:rPr>
        <w:lastRenderedPageBreak/>
        <w:t>令业主限期整改。经整改后仍不符合要求的，由城市综合管理部门会同住建、公安、交通、环保、市场监管、水务等有关部门依法取缔。</w:t>
      </w:r>
    </w:p>
    <w:p w14:paraId="478AC106"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第二十一条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城市综合管理部门应当引导机动车洗车服务行业协</w:t>
      </w:r>
      <w:r>
        <w:rPr>
          <w:rFonts w:ascii="Times New Roman" w:eastAsia="方正仿宋_GBK" w:hAnsi="Times New Roman" w:cs="微软雅黑" w:hint="eastAsia"/>
          <w:sz w:val="32"/>
          <w:szCs w:val="32"/>
        </w:rPr>
        <w:t>会</w:t>
      </w:r>
      <w:r>
        <w:rPr>
          <w:rFonts w:ascii="Times New Roman" w:eastAsia="方正仿宋_GBK" w:hAnsi="Times New Roman" w:cs="微软雅黑" w:hint="eastAsia"/>
          <w:sz w:val="32"/>
          <w:szCs w:val="32"/>
        </w:rPr>
        <w:t>建立机动车洗车场经营者年度服务质量信誉考核机制，并定期向社会公示考核结果。</w:t>
      </w:r>
    </w:p>
    <w:p w14:paraId="311BE689"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机动车洗车场经营者应当参加年度服务质量信誉考核。</w:t>
      </w:r>
    </w:p>
    <w:p w14:paraId="1667EA11" w14:textId="77777777" w:rsidR="00453FF6" w:rsidRDefault="00BF0DE7">
      <w:pPr>
        <w:pStyle w:val="a0"/>
        <w:ind w:firstLineChars="200"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w:t>
      </w:r>
      <w:r>
        <w:rPr>
          <w:rFonts w:ascii="Times New Roman" w:eastAsia="方正仿宋_GBK" w:hAnsi="Times New Roman" w:cs="微软雅黑" w:hint="eastAsia"/>
          <w:b/>
          <w:bCs/>
          <w:sz w:val="32"/>
          <w:szCs w:val="32"/>
        </w:rPr>
        <w:t>二</w:t>
      </w:r>
      <w:r>
        <w:rPr>
          <w:rFonts w:ascii="Times New Roman" w:eastAsia="方正仿宋_GBK" w:hAnsi="Times New Roman" w:cs="微软雅黑" w:hint="eastAsia"/>
          <w:b/>
          <w:bCs/>
          <w:sz w:val="32"/>
          <w:szCs w:val="32"/>
        </w:rPr>
        <w:t>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有关管理部门应当建立健全投诉举报机制，接受社会监督。</w:t>
      </w:r>
    </w:p>
    <w:p w14:paraId="2B8B4EEA" w14:textId="77777777" w:rsidR="00453FF6" w:rsidRDefault="00453FF6">
      <w:pPr>
        <w:pStyle w:val="a0"/>
        <w:ind w:firstLine="600"/>
        <w:rPr>
          <w:rFonts w:ascii="Times New Roman" w:eastAsia="方正仿宋_GBK" w:hAnsi="Times New Roman" w:cs="微软雅黑"/>
          <w:sz w:val="32"/>
          <w:szCs w:val="32"/>
        </w:rPr>
      </w:pPr>
    </w:p>
    <w:p w14:paraId="1A5F3E74" w14:textId="77777777" w:rsidR="00453FF6" w:rsidRDefault="00BF0DE7">
      <w:pPr>
        <w:pStyle w:val="2"/>
        <w:keepNext w:val="0"/>
        <w:keepLines w:val="0"/>
        <w:jc w:val="center"/>
        <w:rPr>
          <w:rFonts w:ascii="方正黑体_GBK" w:hAnsi="方正黑体_GBK" w:cs="方正黑体_GBK"/>
          <w:sz w:val="32"/>
          <w:szCs w:val="32"/>
        </w:rPr>
      </w:pPr>
      <w:r>
        <w:rPr>
          <w:rFonts w:ascii="方正黑体_GBK" w:hAnsi="方正黑体_GBK" w:cs="方正黑体_GBK" w:hint="eastAsia"/>
          <w:sz w:val="32"/>
          <w:szCs w:val="32"/>
        </w:rPr>
        <w:t>第六章</w:t>
      </w:r>
      <w:r>
        <w:rPr>
          <w:rFonts w:ascii="方正黑体_GBK" w:hAnsi="方正黑体_GBK" w:cs="方正黑体_GBK" w:hint="eastAsia"/>
          <w:sz w:val="32"/>
          <w:szCs w:val="32"/>
        </w:rPr>
        <w:t xml:space="preserve"> </w:t>
      </w:r>
      <w:r>
        <w:rPr>
          <w:rFonts w:ascii="方正黑体_GBK" w:hAnsi="方正黑体_GBK" w:cs="方正黑体_GBK" w:hint="eastAsia"/>
          <w:sz w:val="32"/>
          <w:szCs w:val="32"/>
        </w:rPr>
        <w:t>法律责任</w:t>
      </w:r>
    </w:p>
    <w:p w14:paraId="52EB9AA4"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第二十三条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违反本办法规定，机动车洗车场经营者有下列情形之一的，由城市综合管理部门责令限期改正：</w:t>
      </w:r>
    </w:p>
    <w:p w14:paraId="33986FC1"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（一）未按照本办法的规定备案；</w:t>
      </w:r>
    </w:p>
    <w:p w14:paraId="7A040159"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（二）</w:t>
      </w:r>
      <w:proofErr w:type="gramStart"/>
      <w:r>
        <w:rPr>
          <w:rFonts w:ascii="Times New Roman" w:eastAsia="方正仿宋_GBK" w:hAnsi="Times New Roman" w:cs="微软雅黑" w:hint="eastAsia"/>
          <w:sz w:val="32"/>
          <w:szCs w:val="32"/>
        </w:rPr>
        <w:t>洗车区</w:t>
      </w:r>
      <w:proofErr w:type="gramEnd"/>
      <w:r>
        <w:rPr>
          <w:rFonts w:ascii="Times New Roman" w:eastAsia="方正仿宋_GBK" w:hAnsi="Times New Roman" w:cs="微软雅黑" w:hint="eastAsia"/>
          <w:sz w:val="32"/>
          <w:szCs w:val="32"/>
        </w:rPr>
        <w:t>未设置在室内或者封闭场地内、未采用防渗漏硬化地面、未设置截水沟。</w:t>
      </w:r>
    </w:p>
    <w:p w14:paraId="06B4A30E"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第二十四条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违反本办法规定，机动车洗车场经营者有下列情形之一的，由城市综合管理部门依照《云南省曲靖城市管理条例》第五十四条的规定责令改正并依法给予行政处罚：</w:t>
      </w:r>
    </w:p>
    <w:p w14:paraId="5ADFFCF7"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（一）工</w:t>
      </w:r>
      <w:r>
        <w:rPr>
          <w:rFonts w:ascii="Times New Roman" w:eastAsia="方正仿宋_GBK" w:hAnsi="Times New Roman" w:cs="微软雅黑" w:hint="eastAsia"/>
          <w:sz w:val="32"/>
          <w:szCs w:val="32"/>
        </w:rPr>
        <w:t>作场所周围环境卫生不整洁；</w:t>
      </w:r>
    </w:p>
    <w:p w14:paraId="5DF8885D"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（二）洗车污水外流机动车洗车场外的区域。</w:t>
      </w:r>
    </w:p>
    <w:p w14:paraId="2294428F"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lastRenderedPageBreak/>
        <w:t>第二十</w:t>
      </w:r>
      <w:r>
        <w:rPr>
          <w:rFonts w:ascii="Times New Roman" w:eastAsia="方正仿宋_GBK" w:hAnsi="Times New Roman" w:cs="微软雅黑" w:hint="eastAsia"/>
          <w:b/>
          <w:bCs/>
          <w:sz w:val="32"/>
          <w:szCs w:val="32"/>
        </w:rPr>
        <w:t>五</w:t>
      </w:r>
      <w:r>
        <w:rPr>
          <w:rFonts w:ascii="Times New Roman" w:eastAsia="方正仿宋_GBK" w:hAnsi="Times New Roman" w:cs="微软雅黑" w:hint="eastAsia"/>
          <w:b/>
          <w:bCs/>
          <w:sz w:val="32"/>
          <w:szCs w:val="32"/>
        </w:rPr>
        <w:t>条</w:t>
      </w:r>
      <w:r>
        <w:rPr>
          <w:rFonts w:ascii="Times New Roman" w:eastAsia="方正仿宋_GBK" w:hAnsi="Times New Roman" w:cs="微软雅黑" w:hint="eastAsia"/>
          <w:bCs/>
          <w:sz w:val="32"/>
          <w:szCs w:val="32"/>
        </w:rPr>
        <w:t xml:space="preserve"> </w:t>
      </w:r>
      <w:r>
        <w:rPr>
          <w:rFonts w:ascii="Times New Roman" w:eastAsia="方正仿宋_GBK" w:hAnsi="Times New Roman" w:cs="微软雅黑" w:hint="eastAsia"/>
          <w:sz w:val="32"/>
          <w:szCs w:val="32"/>
        </w:rPr>
        <w:t>违反本办法规定，机动车洗车场经营者有下列情形之一的，由城市综合管理部门会同职权管理部门依照《云南省城市建设管理条例》第五十九条的规定责令改正，依法给</w:t>
      </w:r>
      <w:proofErr w:type="gramStart"/>
      <w:r>
        <w:rPr>
          <w:rFonts w:ascii="Times New Roman" w:eastAsia="方正仿宋_GBK" w:hAnsi="Times New Roman" w:cs="微软雅黑" w:hint="eastAsia"/>
          <w:sz w:val="32"/>
          <w:szCs w:val="32"/>
        </w:rPr>
        <w:t>予处理</w:t>
      </w:r>
      <w:proofErr w:type="gramEnd"/>
      <w:r>
        <w:rPr>
          <w:rFonts w:ascii="Times New Roman" w:eastAsia="方正仿宋_GBK" w:hAnsi="Times New Roman" w:cs="微软雅黑" w:hint="eastAsia"/>
          <w:sz w:val="32"/>
          <w:szCs w:val="32"/>
        </w:rPr>
        <w:t>：</w:t>
      </w:r>
    </w:p>
    <w:p w14:paraId="2CCA3B92"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（一）擅自连接、改装、拆除供水、排水等公用管线、公共管沟；</w:t>
      </w:r>
    </w:p>
    <w:p w14:paraId="655C1EC9"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（二）擅自在城市公共供水管道上安装抽水水泵；</w:t>
      </w:r>
    </w:p>
    <w:p w14:paraId="1A16018E"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（三）擅自将自建的供水、排水、再生水利用等设施与城市相应的设施连接；</w:t>
      </w:r>
    </w:p>
    <w:p w14:paraId="594653B7"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（四）擅自停止运行再生水利用设施；</w:t>
      </w:r>
    </w:p>
    <w:p w14:paraId="7A0676FB"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（五）向城市排水设施排放未达到排放标准的污水；</w:t>
      </w:r>
    </w:p>
    <w:p w14:paraId="650F83C7"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（六）损坏城市供水、排水等市政公用设施、设备；</w:t>
      </w:r>
    </w:p>
    <w:p w14:paraId="1F3F483B"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（七）擅自占用道路、绿化带或其他公共场地进行洗车服务；</w:t>
      </w:r>
    </w:p>
    <w:p w14:paraId="59C2B83A" w14:textId="77777777" w:rsidR="00453FF6" w:rsidRDefault="00BF0DE7">
      <w:pPr>
        <w:pStyle w:val="a0"/>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（八）擅自占道经营。</w:t>
      </w:r>
    </w:p>
    <w:p w14:paraId="1E227D23"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第二十六条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机动车洗车场经营者违反本办法其他规定的，分别由生态环境、公安、市场监管、交通运输、水务等行政管理部门依照有关法律、法规、规章的规定予以处罚。</w:t>
      </w:r>
    </w:p>
    <w:p w14:paraId="2C27690E"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第二十七条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相关行政管理部门及其工作人员在机动车洗车场管理工作中有下列情形之一的，由其所在单位或者相关主管机关责令改正；情节严重的，对直接负责的主管人员和直接责任人员依法予以处理；构成犯罪的，依法追究刑事</w:t>
      </w:r>
      <w:r>
        <w:rPr>
          <w:rFonts w:ascii="Times New Roman" w:eastAsia="方正仿宋_GBK" w:hAnsi="Times New Roman" w:cs="微软雅黑" w:hint="eastAsia"/>
          <w:sz w:val="32"/>
          <w:szCs w:val="32"/>
        </w:rPr>
        <w:lastRenderedPageBreak/>
        <w:t>责任：</w:t>
      </w:r>
    </w:p>
    <w:p w14:paraId="7EF6008B"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（一）利用职务上的便利索取、收受他人财物或者谋取其他利益的；</w:t>
      </w:r>
    </w:p>
    <w:p w14:paraId="3E7FD91F"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（二）不履行巡查管理职责，未能及时发现违法行为的；</w:t>
      </w:r>
    </w:p>
    <w:p w14:paraId="49B94138"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（三）发现违法行为不依法予以查处或者不向有管辖权的行政管理部门依法移送的；</w:t>
      </w:r>
    </w:p>
    <w:p w14:paraId="6307DBB5"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sz w:val="32"/>
          <w:szCs w:val="32"/>
        </w:rPr>
        <w:t>（四）其他玩忽职守、滥用职权、徇私舞弊的情形。</w:t>
      </w:r>
    </w:p>
    <w:p w14:paraId="3F848AD7" w14:textId="77777777" w:rsidR="00453FF6" w:rsidRDefault="00453FF6">
      <w:pPr>
        <w:pStyle w:val="2"/>
        <w:keepNext w:val="0"/>
        <w:keepLines w:val="0"/>
        <w:ind w:firstLineChars="1000" w:firstLine="3200"/>
        <w:rPr>
          <w:rFonts w:ascii="方正黑体_GBK" w:hAnsi="方正黑体_GBK" w:cs="方正黑体_GBK"/>
          <w:sz w:val="32"/>
          <w:szCs w:val="32"/>
        </w:rPr>
      </w:pPr>
    </w:p>
    <w:p w14:paraId="5ACF3D02" w14:textId="77777777" w:rsidR="00453FF6" w:rsidRDefault="00BF0DE7">
      <w:pPr>
        <w:pStyle w:val="2"/>
        <w:keepNext w:val="0"/>
        <w:keepLines w:val="0"/>
        <w:ind w:firstLineChars="1000" w:firstLine="3200"/>
        <w:rPr>
          <w:rFonts w:ascii="方正黑体_GBK" w:hAnsi="方正黑体_GBK" w:cs="方正黑体_GBK"/>
          <w:sz w:val="32"/>
          <w:szCs w:val="32"/>
        </w:rPr>
      </w:pPr>
      <w:r>
        <w:rPr>
          <w:rFonts w:ascii="方正黑体_GBK" w:hAnsi="方正黑体_GBK" w:cs="方正黑体_GBK" w:hint="eastAsia"/>
          <w:sz w:val="32"/>
          <w:szCs w:val="32"/>
        </w:rPr>
        <w:t>第七章</w:t>
      </w:r>
      <w:r>
        <w:rPr>
          <w:rFonts w:ascii="方正黑体_GBK" w:hAnsi="方正黑体_GBK" w:cs="方正黑体_GBK" w:hint="eastAsia"/>
          <w:sz w:val="32"/>
          <w:szCs w:val="32"/>
        </w:rPr>
        <w:t xml:space="preserve"> </w:t>
      </w:r>
      <w:r>
        <w:rPr>
          <w:rFonts w:ascii="方正黑体_GBK" w:hAnsi="方正黑体_GBK" w:cs="方正黑体_GBK" w:hint="eastAsia"/>
          <w:sz w:val="32"/>
          <w:szCs w:val="32"/>
        </w:rPr>
        <w:t>附</w:t>
      </w:r>
      <w:r>
        <w:rPr>
          <w:rFonts w:ascii="方正黑体_GBK" w:hAnsi="方正黑体_GBK" w:cs="方正黑体_GBK" w:hint="eastAsia"/>
          <w:sz w:val="32"/>
          <w:szCs w:val="32"/>
        </w:rPr>
        <w:t xml:space="preserve">  </w:t>
      </w:r>
      <w:r>
        <w:rPr>
          <w:rFonts w:ascii="方正黑体_GBK" w:hAnsi="方正黑体_GBK" w:cs="方正黑体_GBK" w:hint="eastAsia"/>
          <w:sz w:val="32"/>
          <w:szCs w:val="32"/>
        </w:rPr>
        <w:t>则</w:t>
      </w:r>
    </w:p>
    <w:p w14:paraId="5B646CF0" w14:textId="77777777" w:rsidR="00453FF6" w:rsidRDefault="00BF0DE7">
      <w:pPr>
        <w:ind w:firstLine="640"/>
        <w:rPr>
          <w:rFonts w:ascii="Times New Roman" w:eastAsia="方正仿宋_GBK" w:hAnsi="Times New Roman" w:cs="微软雅黑"/>
          <w:sz w:val="32"/>
          <w:szCs w:val="32"/>
        </w:rPr>
      </w:pPr>
      <w:r>
        <w:rPr>
          <w:rFonts w:ascii="Times New Roman" w:eastAsia="方正仿宋_GBK" w:hAnsi="Times New Roman" w:cs="微软雅黑" w:hint="eastAsia"/>
          <w:b/>
          <w:bCs/>
          <w:sz w:val="32"/>
          <w:szCs w:val="32"/>
        </w:rPr>
        <w:t>第二十八条</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本办法自</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年</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月</w:t>
      </w:r>
      <w:r>
        <w:rPr>
          <w:rFonts w:ascii="Times New Roman" w:eastAsia="方正仿宋_GBK" w:hAnsi="Times New Roman" w:cs="微软雅黑" w:hint="eastAsia"/>
          <w:sz w:val="32"/>
          <w:szCs w:val="32"/>
        </w:rPr>
        <w:t xml:space="preserve">  </w:t>
      </w:r>
      <w:r>
        <w:rPr>
          <w:rFonts w:ascii="Times New Roman" w:eastAsia="方正仿宋_GBK" w:hAnsi="Times New Roman" w:cs="微软雅黑" w:hint="eastAsia"/>
          <w:sz w:val="32"/>
          <w:szCs w:val="32"/>
        </w:rPr>
        <w:t>日起执行。</w:t>
      </w:r>
    </w:p>
    <w:p w14:paraId="36B40CA7" w14:textId="77777777" w:rsidR="00453FF6" w:rsidRDefault="00453FF6">
      <w:pPr>
        <w:pStyle w:val="a0"/>
        <w:ind w:firstLine="640"/>
        <w:rPr>
          <w:rFonts w:ascii="微软雅黑" w:eastAsia="微软雅黑" w:hAnsi="微软雅黑" w:cs="微软雅黑"/>
          <w:sz w:val="32"/>
          <w:szCs w:val="32"/>
        </w:rPr>
      </w:pPr>
    </w:p>
    <w:p w14:paraId="345637DD" w14:textId="77777777" w:rsidR="00453FF6" w:rsidRDefault="00453FF6">
      <w:pPr>
        <w:jc w:val="left"/>
        <w:rPr>
          <w:rFonts w:ascii="仿宋" w:eastAsia="仿宋" w:hAnsi="仿宋" w:cs="宋体"/>
          <w:kern w:val="0"/>
          <w:sz w:val="32"/>
          <w:szCs w:val="32"/>
        </w:rPr>
      </w:pPr>
    </w:p>
    <w:p w14:paraId="6AA9E0EA" w14:textId="77777777" w:rsidR="00453FF6" w:rsidRDefault="00453FF6">
      <w:pPr>
        <w:pStyle w:val="a0"/>
        <w:rPr>
          <w:rFonts w:ascii="仿宋" w:eastAsia="仿宋" w:hAnsi="仿宋" w:cs="宋体"/>
          <w:kern w:val="0"/>
          <w:sz w:val="32"/>
          <w:szCs w:val="32"/>
        </w:rPr>
      </w:pPr>
    </w:p>
    <w:p w14:paraId="122663BA" w14:textId="77777777" w:rsidR="00453FF6" w:rsidRDefault="00453FF6">
      <w:pPr>
        <w:pStyle w:val="a0"/>
        <w:rPr>
          <w:rFonts w:ascii="仿宋" w:eastAsia="仿宋" w:hAnsi="仿宋" w:cs="宋体"/>
          <w:kern w:val="0"/>
          <w:sz w:val="32"/>
          <w:szCs w:val="32"/>
        </w:rPr>
      </w:pPr>
    </w:p>
    <w:p w14:paraId="65CC8D91" w14:textId="77777777" w:rsidR="00453FF6" w:rsidRDefault="00453FF6">
      <w:pPr>
        <w:pStyle w:val="a0"/>
        <w:rPr>
          <w:rFonts w:ascii="仿宋" w:eastAsia="仿宋" w:hAnsi="仿宋" w:cs="宋体"/>
          <w:kern w:val="0"/>
          <w:sz w:val="32"/>
          <w:szCs w:val="32"/>
        </w:rPr>
      </w:pPr>
    </w:p>
    <w:p w14:paraId="735FD9F3" w14:textId="77777777" w:rsidR="00453FF6" w:rsidRDefault="00453FF6">
      <w:pPr>
        <w:pStyle w:val="a0"/>
        <w:rPr>
          <w:rFonts w:ascii="仿宋" w:eastAsia="仿宋" w:hAnsi="仿宋" w:cs="宋体"/>
          <w:kern w:val="0"/>
          <w:sz w:val="32"/>
          <w:szCs w:val="32"/>
        </w:rPr>
      </w:pPr>
    </w:p>
    <w:p w14:paraId="3F393D28" w14:textId="77777777" w:rsidR="00453FF6" w:rsidRDefault="00453FF6">
      <w:pPr>
        <w:pStyle w:val="a0"/>
        <w:rPr>
          <w:rFonts w:ascii="仿宋" w:eastAsia="仿宋" w:hAnsi="仿宋" w:cs="宋体"/>
          <w:kern w:val="0"/>
          <w:sz w:val="32"/>
          <w:szCs w:val="32"/>
        </w:rPr>
      </w:pPr>
    </w:p>
    <w:p w14:paraId="11EC075E" w14:textId="77777777" w:rsidR="00453FF6" w:rsidRDefault="00453FF6">
      <w:pPr>
        <w:pStyle w:val="a0"/>
        <w:rPr>
          <w:rFonts w:ascii="仿宋" w:eastAsia="仿宋" w:hAnsi="仿宋" w:cs="宋体"/>
          <w:kern w:val="0"/>
          <w:sz w:val="32"/>
          <w:szCs w:val="32"/>
        </w:rPr>
      </w:pPr>
    </w:p>
    <w:p w14:paraId="26E360D7" w14:textId="77777777" w:rsidR="00453FF6" w:rsidRDefault="00453FF6">
      <w:pPr>
        <w:pStyle w:val="a0"/>
        <w:rPr>
          <w:rFonts w:ascii="仿宋" w:eastAsia="仿宋" w:hAnsi="仿宋" w:cs="宋体"/>
          <w:kern w:val="0"/>
          <w:sz w:val="32"/>
          <w:szCs w:val="32"/>
        </w:rPr>
      </w:pPr>
    </w:p>
    <w:p w14:paraId="7C06DAB7" w14:textId="77777777" w:rsidR="00453FF6" w:rsidRDefault="00453FF6">
      <w:pPr>
        <w:spacing w:line="560" w:lineRule="exact"/>
        <w:rPr>
          <w:rFonts w:ascii="方正黑体_GBK" w:eastAsia="方正黑体_GBK" w:hAnsi="方正黑体_GBK" w:cs="方正黑体_GBK"/>
          <w:bCs/>
          <w:sz w:val="32"/>
          <w:szCs w:val="32"/>
        </w:rPr>
      </w:pPr>
    </w:p>
    <w:p w14:paraId="2E018AAE" w14:textId="77777777" w:rsidR="00453FF6" w:rsidRDefault="00453FF6">
      <w:pPr>
        <w:spacing w:line="560" w:lineRule="exact"/>
        <w:rPr>
          <w:rFonts w:ascii="方正黑体_GBK" w:eastAsia="方正黑体_GBK" w:hAnsi="方正黑体_GBK" w:cs="方正黑体_GBK"/>
          <w:bCs/>
          <w:sz w:val="32"/>
          <w:szCs w:val="32"/>
        </w:rPr>
      </w:pPr>
    </w:p>
    <w:p w14:paraId="0C31F3C8" w14:textId="77777777" w:rsidR="00453FF6" w:rsidRDefault="00453FF6">
      <w:pPr>
        <w:spacing w:line="560" w:lineRule="exact"/>
        <w:rPr>
          <w:rFonts w:ascii="方正黑体_GBK" w:eastAsia="方正黑体_GBK" w:hAnsi="方正黑体_GBK" w:cs="方正黑体_GBK"/>
          <w:bCs/>
          <w:sz w:val="32"/>
          <w:szCs w:val="32"/>
        </w:rPr>
      </w:pPr>
    </w:p>
    <w:p w14:paraId="7361E677" w14:textId="77777777" w:rsidR="00453FF6" w:rsidRDefault="00453FF6">
      <w:pPr>
        <w:spacing w:line="560" w:lineRule="exact"/>
        <w:rPr>
          <w:rFonts w:ascii="方正黑体_GBK" w:eastAsia="方正黑体_GBK" w:hAnsi="方正黑体_GBK" w:cs="方正黑体_GBK"/>
          <w:bCs/>
          <w:sz w:val="32"/>
          <w:szCs w:val="32"/>
        </w:rPr>
      </w:pPr>
    </w:p>
    <w:p w14:paraId="0DD366E2" w14:textId="77777777" w:rsidR="00453FF6" w:rsidRDefault="00BF0DE7">
      <w:pPr>
        <w:spacing w:line="560"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t>附件</w:t>
      </w:r>
      <w:r>
        <w:rPr>
          <w:rFonts w:ascii="方正黑体_GBK" w:eastAsia="方正黑体_GBK" w:hAnsi="方正黑体_GBK" w:cs="方正黑体_GBK" w:hint="eastAsia"/>
          <w:bCs/>
          <w:sz w:val="32"/>
          <w:szCs w:val="32"/>
        </w:rPr>
        <w:t>2</w:t>
      </w:r>
    </w:p>
    <w:p w14:paraId="021EA520" w14:textId="77777777" w:rsidR="00453FF6" w:rsidRDefault="00BF0DE7">
      <w:pPr>
        <w:spacing w:line="700" w:lineRule="exact"/>
        <w:jc w:val="center"/>
        <w:rPr>
          <w:rFonts w:ascii="方正小标宋_GBK" w:eastAsia="方正小标宋_GBK" w:hAnsi="方正小标宋_GBK" w:cs="方正小标宋_GBK"/>
          <w:bCs/>
          <w:sz w:val="44"/>
          <w:szCs w:val="44"/>
        </w:rPr>
      </w:pPr>
      <w:r>
        <w:rPr>
          <w:rFonts w:ascii="方正小标宋_GBK" w:eastAsia="方正小标宋_GBK" w:hAnsi="方正小标宋_GBK" w:cs="方正小标宋_GBK" w:hint="eastAsia"/>
          <w:bCs/>
          <w:sz w:val="44"/>
          <w:szCs w:val="44"/>
        </w:rPr>
        <w:t>听证代表报名表</w:t>
      </w:r>
    </w:p>
    <w:p w14:paraId="6CB178DD" w14:textId="77777777" w:rsidR="00453FF6" w:rsidRDefault="00453FF6">
      <w:pPr>
        <w:spacing w:line="560" w:lineRule="exact"/>
        <w:jc w:val="center"/>
        <w:rPr>
          <w:rFonts w:ascii="仿宋" w:eastAsia="仿宋" w:hAnsi="仿宋" w:cs="仿宋_GB2312"/>
          <w:b/>
          <w:sz w:val="36"/>
          <w:szCs w:val="36"/>
        </w:rPr>
      </w:pPr>
    </w:p>
    <w:tbl>
      <w:tblPr>
        <w:tblStyle w:val="a7"/>
        <w:tblW w:w="9200" w:type="dxa"/>
        <w:tblInd w:w="-291" w:type="dxa"/>
        <w:tblLayout w:type="fixed"/>
        <w:tblLook w:val="04A0" w:firstRow="1" w:lastRow="0" w:firstColumn="1" w:lastColumn="0" w:noHBand="0" w:noVBand="1"/>
      </w:tblPr>
      <w:tblGrid>
        <w:gridCol w:w="1633"/>
        <w:gridCol w:w="2317"/>
        <w:gridCol w:w="1200"/>
        <w:gridCol w:w="1216"/>
        <w:gridCol w:w="1600"/>
        <w:gridCol w:w="1234"/>
      </w:tblGrid>
      <w:tr w:rsidR="00453FF6" w14:paraId="64838130" w14:textId="77777777">
        <w:trPr>
          <w:trHeight w:val="737"/>
        </w:trPr>
        <w:tc>
          <w:tcPr>
            <w:tcW w:w="1633" w:type="dxa"/>
            <w:tcBorders>
              <w:top w:val="single" w:sz="4" w:space="0" w:color="auto"/>
              <w:left w:val="single" w:sz="4" w:space="0" w:color="auto"/>
              <w:bottom w:val="single" w:sz="4" w:space="0" w:color="auto"/>
              <w:right w:val="single" w:sz="4" w:space="0" w:color="auto"/>
            </w:tcBorders>
            <w:vAlign w:val="center"/>
          </w:tcPr>
          <w:p w14:paraId="6F76B7FC" w14:textId="77777777" w:rsidR="00453FF6" w:rsidRDefault="00BF0DE7">
            <w:pPr>
              <w:spacing w:line="560" w:lineRule="exact"/>
              <w:ind w:firstLineChars="100" w:firstLine="320"/>
              <w:jc w:val="center"/>
              <w:rPr>
                <w:rFonts w:ascii="仿宋" w:eastAsia="仿宋" w:hAnsi="仿宋" w:cs="仿宋_GB2312"/>
                <w:kern w:val="0"/>
                <w:sz w:val="32"/>
                <w:szCs w:val="32"/>
              </w:rPr>
            </w:pPr>
            <w:r>
              <w:rPr>
                <w:rFonts w:ascii="仿宋" w:eastAsia="仿宋" w:hAnsi="仿宋" w:cs="仿宋_GB2312" w:hint="eastAsia"/>
                <w:kern w:val="0"/>
                <w:sz w:val="32"/>
                <w:szCs w:val="32"/>
              </w:rPr>
              <w:t>姓名</w:t>
            </w:r>
          </w:p>
        </w:tc>
        <w:tc>
          <w:tcPr>
            <w:tcW w:w="2317" w:type="dxa"/>
            <w:tcBorders>
              <w:top w:val="single" w:sz="4" w:space="0" w:color="auto"/>
              <w:left w:val="nil"/>
              <w:bottom w:val="single" w:sz="4" w:space="0" w:color="auto"/>
              <w:right w:val="single" w:sz="4" w:space="0" w:color="auto"/>
            </w:tcBorders>
            <w:vAlign w:val="center"/>
          </w:tcPr>
          <w:p w14:paraId="387D3F80" w14:textId="77777777" w:rsidR="00453FF6" w:rsidRDefault="00453FF6">
            <w:pPr>
              <w:spacing w:line="560" w:lineRule="exact"/>
              <w:jc w:val="center"/>
              <w:rPr>
                <w:rFonts w:ascii="仿宋" w:eastAsia="仿宋" w:hAnsi="仿宋" w:cs="仿宋_GB2312"/>
                <w:kern w:val="0"/>
                <w:sz w:val="32"/>
                <w:szCs w:val="32"/>
              </w:rPr>
            </w:pPr>
          </w:p>
        </w:tc>
        <w:tc>
          <w:tcPr>
            <w:tcW w:w="1200" w:type="dxa"/>
            <w:tcBorders>
              <w:top w:val="single" w:sz="4" w:space="0" w:color="auto"/>
              <w:left w:val="nil"/>
              <w:bottom w:val="single" w:sz="4" w:space="0" w:color="auto"/>
              <w:right w:val="single" w:sz="4" w:space="0" w:color="auto"/>
            </w:tcBorders>
            <w:vAlign w:val="center"/>
          </w:tcPr>
          <w:p w14:paraId="37F9DC34" w14:textId="77777777" w:rsidR="00453FF6" w:rsidRDefault="00BF0DE7">
            <w:pPr>
              <w:spacing w:line="560" w:lineRule="exact"/>
              <w:ind w:firstLineChars="100" w:firstLine="320"/>
              <w:jc w:val="center"/>
              <w:rPr>
                <w:rFonts w:ascii="仿宋" w:eastAsia="仿宋" w:hAnsi="仿宋" w:cs="仿宋_GB2312"/>
                <w:kern w:val="0"/>
                <w:sz w:val="32"/>
                <w:szCs w:val="32"/>
              </w:rPr>
            </w:pPr>
            <w:r>
              <w:rPr>
                <w:rFonts w:ascii="仿宋" w:eastAsia="仿宋" w:hAnsi="仿宋" w:cs="仿宋_GB2312" w:hint="eastAsia"/>
                <w:kern w:val="0"/>
                <w:sz w:val="32"/>
                <w:szCs w:val="32"/>
              </w:rPr>
              <w:t>性别</w:t>
            </w:r>
          </w:p>
        </w:tc>
        <w:tc>
          <w:tcPr>
            <w:tcW w:w="1216" w:type="dxa"/>
            <w:tcBorders>
              <w:top w:val="single" w:sz="4" w:space="0" w:color="auto"/>
              <w:left w:val="nil"/>
              <w:bottom w:val="single" w:sz="4" w:space="0" w:color="auto"/>
              <w:right w:val="single" w:sz="4" w:space="0" w:color="auto"/>
            </w:tcBorders>
            <w:vAlign w:val="center"/>
          </w:tcPr>
          <w:p w14:paraId="07819468" w14:textId="77777777" w:rsidR="00453FF6" w:rsidRDefault="00453FF6">
            <w:pPr>
              <w:spacing w:line="560" w:lineRule="exact"/>
              <w:jc w:val="center"/>
              <w:rPr>
                <w:rFonts w:ascii="仿宋" w:eastAsia="仿宋" w:hAnsi="仿宋" w:cs="仿宋_GB2312"/>
                <w:kern w:val="0"/>
                <w:sz w:val="32"/>
                <w:szCs w:val="32"/>
              </w:rPr>
            </w:pPr>
          </w:p>
        </w:tc>
        <w:tc>
          <w:tcPr>
            <w:tcW w:w="1600" w:type="dxa"/>
            <w:tcBorders>
              <w:top w:val="single" w:sz="4" w:space="0" w:color="auto"/>
              <w:left w:val="nil"/>
              <w:bottom w:val="single" w:sz="4" w:space="0" w:color="auto"/>
              <w:right w:val="single" w:sz="4" w:space="0" w:color="auto"/>
            </w:tcBorders>
            <w:vAlign w:val="center"/>
          </w:tcPr>
          <w:p w14:paraId="11270146" w14:textId="77777777" w:rsidR="00453FF6" w:rsidRDefault="00BF0DE7">
            <w:pPr>
              <w:spacing w:line="560" w:lineRule="exact"/>
              <w:ind w:firstLineChars="100" w:firstLine="320"/>
              <w:jc w:val="center"/>
              <w:rPr>
                <w:rFonts w:ascii="仿宋" w:eastAsia="仿宋" w:hAnsi="仿宋" w:cs="仿宋_GB2312"/>
                <w:kern w:val="0"/>
                <w:sz w:val="32"/>
                <w:szCs w:val="32"/>
              </w:rPr>
            </w:pPr>
            <w:r>
              <w:rPr>
                <w:rFonts w:ascii="仿宋" w:eastAsia="仿宋" w:hAnsi="仿宋" w:cs="仿宋_GB2312" w:hint="eastAsia"/>
                <w:kern w:val="0"/>
                <w:sz w:val="32"/>
                <w:szCs w:val="32"/>
              </w:rPr>
              <w:t>年龄</w:t>
            </w:r>
          </w:p>
        </w:tc>
        <w:tc>
          <w:tcPr>
            <w:tcW w:w="1234" w:type="dxa"/>
            <w:tcBorders>
              <w:top w:val="single" w:sz="4" w:space="0" w:color="auto"/>
              <w:left w:val="nil"/>
              <w:bottom w:val="single" w:sz="4" w:space="0" w:color="auto"/>
              <w:right w:val="single" w:sz="4" w:space="0" w:color="auto"/>
            </w:tcBorders>
            <w:vAlign w:val="center"/>
          </w:tcPr>
          <w:p w14:paraId="20688358" w14:textId="77777777" w:rsidR="00453FF6" w:rsidRDefault="00453FF6">
            <w:pPr>
              <w:spacing w:line="560" w:lineRule="exact"/>
              <w:jc w:val="center"/>
              <w:rPr>
                <w:rFonts w:ascii="仿宋" w:eastAsia="仿宋" w:hAnsi="仿宋" w:cs="仿宋_GB2312"/>
                <w:kern w:val="0"/>
                <w:sz w:val="32"/>
                <w:szCs w:val="32"/>
              </w:rPr>
            </w:pPr>
          </w:p>
        </w:tc>
      </w:tr>
      <w:tr w:rsidR="00453FF6" w14:paraId="784B9BB9" w14:textId="77777777">
        <w:trPr>
          <w:trHeight w:val="737"/>
        </w:trPr>
        <w:tc>
          <w:tcPr>
            <w:tcW w:w="1633" w:type="dxa"/>
            <w:tcBorders>
              <w:top w:val="single" w:sz="4" w:space="0" w:color="auto"/>
              <w:left w:val="single" w:sz="4" w:space="0" w:color="auto"/>
              <w:bottom w:val="single" w:sz="4" w:space="0" w:color="auto"/>
              <w:right w:val="single" w:sz="4" w:space="0" w:color="auto"/>
            </w:tcBorders>
            <w:vAlign w:val="center"/>
          </w:tcPr>
          <w:p w14:paraId="23FFED73" w14:textId="77777777" w:rsidR="00453FF6" w:rsidRDefault="00BF0DE7">
            <w:pPr>
              <w:spacing w:line="56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身份证号</w:t>
            </w:r>
          </w:p>
        </w:tc>
        <w:tc>
          <w:tcPr>
            <w:tcW w:w="2317" w:type="dxa"/>
            <w:tcBorders>
              <w:top w:val="single" w:sz="4" w:space="0" w:color="auto"/>
              <w:left w:val="nil"/>
              <w:bottom w:val="single" w:sz="4" w:space="0" w:color="auto"/>
              <w:right w:val="single" w:sz="4" w:space="0" w:color="auto"/>
            </w:tcBorders>
            <w:vAlign w:val="center"/>
          </w:tcPr>
          <w:p w14:paraId="2C45148B" w14:textId="77777777" w:rsidR="00453FF6" w:rsidRDefault="00453FF6">
            <w:pPr>
              <w:spacing w:line="560" w:lineRule="exact"/>
              <w:jc w:val="center"/>
              <w:rPr>
                <w:rFonts w:ascii="仿宋" w:eastAsia="仿宋" w:hAnsi="仿宋" w:cs="仿宋_GB2312"/>
                <w:kern w:val="0"/>
                <w:sz w:val="32"/>
                <w:szCs w:val="32"/>
              </w:rPr>
            </w:pPr>
          </w:p>
        </w:tc>
        <w:tc>
          <w:tcPr>
            <w:tcW w:w="1200" w:type="dxa"/>
            <w:tcBorders>
              <w:top w:val="single" w:sz="4" w:space="0" w:color="auto"/>
              <w:left w:val="nil"/>
              <w:bottom w:val="single" w:sz="4" w:space="0" w:color="auto"/>
              <w:right w:val="single" w:sz="4" w:space="0" w:color="auto"/>
            </w:tcBorders>
            <w:vAlign w:val="center"/>
          </w:tcPr>
          <w:p w14:paraId="7131E213" w14:textId="77777777" w:rsidR="00453FF6" w:rsidRDefault="00BF0DE7">
            <w:pPr>
              <w:spacing w:line="560" w:lineRule="exact"/>
              <w:ind w:firstLineChars="100" w:firstLine="320"/>
              <w:jc w:val="center"/>
              <w:rPr>
                <w:rFonts w:ascii="仿宋" w:eastAsia="仿宋" w:hAnsi="仿宋" w:cs="仿宋_GB2312"/>
                <w:kern w:val="0"/>
                <w:sz w:val="32"/>
                <w:szCs w:val="32"/>
              </w:rPr>
            </w:pPr>
            <w:r>
              <w:rPr>
                <w:rFonts w:ascii="仿宋" w:eastAsia="仿宋" w:hAnsi="仿宋" w:cs="仿宋_GB2312" w:hint="eastAsia"/>
                <w:kern w:val="0"/>
                <w:sz w:val="32"/>
                <w:szCs w:val="32"/>
              </w:rPr>
              <w:t>职业</w:t>
            </w:r>
          </w:p>
        </w:tc>
        <w:tc>
          <w:tcPr>
            <w:tcW w:w="1216" w:type="dxa"/>
            <w:tcBorders>
              <w:top w:val="single" w:sz="4" w:space="0" w:color="auto"/>
              <w:left w:val="nil"/>
              <w:bottom w:val="single" w:sz="4" w:space="0" w:color="auto"/>
              <w:right w:val="single" w:sz="4" w:space="0" w:color="auto"/>
            </w:tcBorders>
            <w:vAlign w:val="center"/>
          </w:tcPr>
          <w:p w14:paraId="21BADAFB" w14:textId="77777777" w:rsidR="00453FF6" w:rsidRDefault="00453FF6">
            <w:pPr>
              <w:spacing w:line="560" w:lineRule="exact"/>
              <w:jc w:val="center"/>
              <w:rPr>
                <w:rFonts w:ascii="仿宋" w:eastAsia="仿宋" w:hAnsi="仿宋" w:cs="仿宋_GB2312"/>
                <w:kern w:val="0"/>
                <w:sz w:val="32"/>
                <w:szCs w:val="32"/>
              </w:rPr>
            </w:pPr>
          </w:p>
        </w:tc>
        <w:tc>
          <w:tcPr>
            <w:tcW w:w="1600" w:type="dxa"/>
            <w:tcBorders>
              <w:top w:val="single" w:sz="4" w:space="0" w:color="auto"/>
              <w:left w:val="nil"/>
              <w:bottom w:val="single" w:sz="4" w:space="0" w:color="auto"/>
              <w:right w:val="single" w:sz="4" w:space="0" w:color="auto"/>
            </w:tcBorders>
            <w:vAlign w:val="center"/>
          </w:tcPr>
          <w:p w14:paraId="186F8E33" w14:textId="77777777" w:rsidR="00453FF6" w:rsidRDefault="00BF0DE7">
            <w:pPr>
              <w:spacing w:line="56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文化程度</w:t>
            </w:r>
          </w:p>
        </w:tc>
        <w:tc>
          <w:tcPr>
            <w:tcW w:w="1234" w:type="dxa"/>
            <w:tcBorders>
              <w:top w:val="single" w:sz="4" w:space="0" w:color="auto"/>
              <w:left w:val="nil"/>
              <w:bottom w:val="single" w:sz="4" w:space="0" w:color="auto"/>
              <w:right w:val="single" w:sz="4" w:space="0" w:color="auto"/>
            </w:tcBorders>
            <w:vAlign w:val="center"/>
          </w:tcPr>
          <w:p w14:paraId="0AAF0B27" w14:textId="77777777" w:rsidR="00453FF6" w:rsidRDefault="00453FF6">
            <w:pPr>
              <w:spacing w:line="560" w:lineRule="exact"/>
              <w:jc w:val="center"/>
              <w:rPr>
                <w:rFonts w:ascii="仿宋" w:eastAsia="仿宋" w:hAnsi="仿宋" w:cs="仿宋_GB2312"/>
                <w:kern w:val="0"/>
                <w:sz w:val="32"/>
                <w:szCs w:val="32"/>
              </w:rPr>
            </w:pPr>
          </w:p>
        </w:tc>
      </w:tr>
      <w:tr w:rsidR="00453FF6" w14:paraId="57F47293" w14:textId="77777777">
        <w:trPr>
          <w:trHeight w:val="737"/>
        </w:trPr>
        <w:tc>
          <w:tcPr>
            <w:tcW w:w="1633" w:type="dxa"/>
            <w:tcBorders>
              <w:top w:val="single" w:sz="4" w:space="0" w:color="auto"/>
              <w:left w:val="single" w:sz="4" w:space="0" w:color="auto"/>
              <w:bottom w:val="single" w:sz="4" w:space="0" w:color="auto"/>
              <w:right w:val="single" w:sz="4" w:space="0" w:color="auto"/>
            </w:tcBorders>
            <w:vAlign w:val="center"/>
          </w:tcPr>
          <w:p w14:paraId="07A21021" w14:textId="77777777" w:rsidR="00453FF6" w:rsidRDefault="00BF0DE7">
            <w:pPr>
              <w:spacing w:line="56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工作单位</w:t>
            </w:r>
          </w:p>
        </w:tc>
        <w:tc>
          <w:tcPr>
            <w:tcW w:w="3517" w:type="dxa"/>
            <w:gridSpan w:val="2"/>
            <w:tcBorders>
              <w:top w:val="single" w:sz="4" w:space="0" w:color="auto"/>
              <w:left w:val="nil"/>
              <w:bottom w:val="single" w:sz="4" w:space="0" w:color="auto"/>
              <w:right w:val="single" w:sz="4" w:space="0" w:color="auto"/>
            </w:tcBorders>
            <w:vAlign w:val="center"/>
          </w:tcPr>
          <w:p w14:paraId="6F5188A5" w14:textId="77777777" w:rsidR="00453FF6" w:rsidRDefault="00453FF6">
            <w:pPr>
              <w:spacing w:line="560" w:lineRule="exact"/>
              <w:jc w:val="center"/>
              <w:rPr>
                <w:rFonts w:ascii="仿宋" w:eastAsia="仿宋" w:hAnsi="仿宋" w:cs="仿宋_GB2312"/>
                <w:kern w:val="0"/>
                <w:sz w:val="32"/>
                <w:szCs w:val="32"/>
              </w:rPr>
            </w:pPr>
          </w:p>
        </w:tc>
        <w:tc>
          <w:tcPr>
            <w:tcW w:w="1216" w:type="dxa"/>
            <w:tcBorders>
              <w:top w:val="single" w:sz="4" w:space="0" w:color="auto"/>
              <w:left w:val="nil"/>
              <w:bottom w:val="single" w:sz="4" w:space="0" w:color="auto"/>
              <w:right w:val="single" w:sz="4" w:space="0" w:color="auto"/>
            </w:tcBorders>
            <w:vAlign w:val="center"/>
          </w:tcPr>
          <w:p w14:paraId="25F406CC" w14:textId="77777777" w:rsidR="00453FF6" w:rsidRDefault="00BF0DE7">
            <w:pPr>
              <w:spacing w:line="56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职务</w:t>
            </w:r>
          </w:p>
        </w:tc>
        <w:tc>
          <w:tcPr>
            <w:tcW w:w="2834" w:type="dxa"/>
            <w:gridSpan w:val="2"/>
            <w:tcBorders>
              <w:top w:val="single" w:sz="4" w:space="0" w:color="auto"/>
              <w:left w:val="nil"/>
              <w:bottom w:val="single" w:sz="4" w:space="0" w:color="auto"/>
              <w:right w:val="single" w:sz="4" w:space="0" w:color="auto"/>
            </w:tcBorders>
            <w:vAlign w:val="center"/>
          </w:tcPr>
          <w:p w14:paraId="1DB58678" w14:textId="77777777" w:rsidR="00453FF6" w:rsidRDefault="00453FF6">
            <w:pPr>
              <w:spacing w:line="560" w:lineRule="exact"/>
              <w:jc w:val="center"/>
              <w:rPr>
                <w:rFonts w:ascii="仿宋" w:eastAsia="仿宋" w:hAnsi="仿宋" w:cs="仿宋_GB2312"/>
                <w:kern w:val="0"/>
                <w:sz w:val="32"/>
                <w:szCs w:val="32"/>
              </w:rPr>
            </w:pPr>
          </w:p>
        </w:tc>
      </w:tr>
      <w:tr w:rsidR="00453FF6" w14:paraId="3DD058D1" w14:textId="77777777">
        <w:trPr>
          <w:trHeight w:val="737"/>
        </w:trPr>
        <w:tc>
          <w:tcPr>
            <w:tcW w:w="1633" w:type="dxa"/>
            <w:vMerge w:val="restart"/>
            <w:tcBorders>
              <w:top w:val="nil"/>
              <w:left w:val="single" w:sz="4" w:space="0" w:color="auto"/>
              <w:bottom w:val="single" w:sz="4" w:space="0" w:color="auto"/>
              <w:right w:val="single" w:sz="4" w:space="0" w:color="auto"/>
            </w:tcBorders>
          </w:tcPr>
          <w:p w14:paraId="57DC4818" w14:textId="77777777" w:rsidR="00453FF6" w:rsidRDefault="00453FF6">
            <w:pPr>
              <w:spacing w:line="560" w:lineRule="exact"/>
              <w:rPr>
                <w:rFonts w:ascii="仿宋" w:eastAsia="仿宋" w:hAnsi="仿宋" w:cs="仿宋_GB2312"/>
                <w:kern w:val="0"/>
                <w:sz w:val="32"/>
                <w:szCs w:val="32"/>
              </w:rPr>
            </w:pPr>
          </w:p>
          <w:p w14:paraId="38C6A0A1" w14:textId="77777777" w:rsidR="00453FF6" w:rsidRDefault="00BF0DE7">
            <w:pPr>
              <w:spacing w:line="560" w:lineRule="exact"/>
              <w:rPr>
                <w:rFonts w:ascii="仿宋" w:eastAsia="仿宋" w:hAnsi="仿宋" w:cs="仿宋_GB2312"/>
                <w:kern w:val="0"/>
                <w:sz w:val="32"/>
                <w:szCs w:val="32"/>
              </w:rPr>
            </w:pPr>
            <w:r>
              <w:rPr>
                <w:rFonts w:ascii="仿宋" w:eastAsia="仿宋" w:hAnsi="仿宋" w:cs="仿宋_GB2312" w:hint="eastAsia"/>
                <w:kern w:val="0"/>
                <w:sz w:val="32"/>
                <w:szCs w:val="32"/>
              </w:rPr>
              <w:t>联系方式</w:t>
            </w:r>
          </w:p>
        </w:tc>
        <w:tc>
          <w:tcPr>
            <w:tcW w:w="2317" w:type="dxa"/>
            <w:tcBorders>
              <w:top w:val="single" w:sz="4" w:space="0" w:color="auto"/>
              <w:left w:val="nil"/>
              <w:bottom w:val="single" w:sz="4" w:space="0" w:color="auto"/>
              <w:right w:val="single" w:sz="4" w:space="0" w:color="auto"/>
            </w:tcBorders>
          </w:tcPr>
          <w:p w14:paraId="370D0726" w14:textId="77777777" w:rsidR="00453FF6" w:rsidRDefault="00BF0DE7">
            <w:pPr>
              <w:spacing w:line="560" w:lineRule="exact"/>
              <w:ind w:firstLineChars="100" w:firstLine="320"/>
              <w:rPr>
                <w:rFonts w:ascii="仿宋" w:eastAsia="仿宋" w:hAnsi="仿宋" w:cs="仿宋_GB2312"/>
                <w:kern w:val="0"/>
                <w:sz w:val="32"/>
                <w:szCs w:val="32"/>
              </w:rPr>
            </w:pPr>
            <w:r>
              <w:rPr>
                <w:rFonts w:ascii="仿宋" w:eastAsia="仿宋" w:hAnsi="仿宋" w:cs="仿宋_GB2312" w:hint="eastAsia"/>
                <w:kern w:val="0"/>
                <w:sz w:val="32"/>
                <w:szCs w:val="32"/>
              </w:rPr>
              <w:t>地址</w:t>
            </w:r>
          </w:p>
        </w:tc>
        <w:tc>
          <w:tcPr>
            <w:tcW w:w="5250" w:type="dxa"/>
            <w:gridSpan w:val="4"/>
            <w:tcBorders>
              <w:top w:val="single" w:sz="4" w:space="0" w:color="auto"/>
              <w:left w:val="nil"/>
              <w:bottom w:val="single" w:sz="4" w:space="0" w:color="auto"/>
              <w:right w:val="single" w:sz="4" w:space="0" w:color="auto"/>
            </w:tcBorders>
          </w:tcPr>
          <w:p w14:paraId="09D7FB4C" w14:textId="77777777" w:rsidR="00453FF6" w:rsidRDefault="00453FF6">
            <w:pPr>
              <w:spacing w:line="560" w:lineRule="exact"/>
              <w:rPr>
                <w:rFonts w:ascii="仿宋" w:eastAsia="仿宋" w:hAnsi="仿宋" w:cs="仿宋_GB2312"/>
                <w:kern w:val="0"/>
                <w:sz w:val="32"/>
                <w:szCs w:val="32"/>
              </w:rPr>
            </w:pPr>
          </w:p>
        </w:tc>
      </w:tr>
      <w:tr w:rsidR="00453FF6" w14:paraId="3A6592C7" w14:textId="77777777">
        <w:trPr>
          <w:trHeight w:val="737"/>
        </w:trPr>
        <w:tc>
          <w:tcPr>
            <w:tcW w:w="1633" w:type="dxa"/>
            <w:vMerge/>
            <w:tcBorders>
              <w:top w:val="nil"/>
              <w:left w:val="single" w:sz="4" w:space="0" w:color="auto"/>
              <w:bottom w:val="single" w:sz="4" w:space="0" w:color="auto"/>
              <w:right w:val="single" w:sz="4" w:space="0" w:color="auto"/>
            </w:tcBorders>
            <w:vAlign w:val="center"/>
          </w:tcPr>
          <w:p w14:paraId="7CEC2B54" w14:textId="77777777" w:rsidR="00453FF6" w:rsidRDefault="00453FF6">
            <w:pPr>
              <w:widowControl/>
              <w:jc w:val="left"/>
              <w:rPr>
                <w:rFonts w:ascii="仿宋" w:eastAsia="仿宋" w:hAnsi="仿宋" w:cs="仿宋_GB2312"/>
                <w:kern w:val="0"/>
                <w:sz w:val="32"/>
                <w:szCs w:val="32"/>
              </w:rPr>
            </w:pPr>
          </w:p>
        </w:tc>
        <w:tc>
          <w:tcPr>
            <w:tcW w:w="2317" w:type="dxa"/>
            <w:tcBorders>
              <w:top w:val="single" w:sz="4" w:space="0" w:color="auto"/>
              <w:left w:val="nil"/>
              <w:bottom w:val="single" w:sz="4" w:space="0" w:color="auto"/>
              <w:right w:val="single" w:sz="4" w:space="0" w:color="auto"/>
            </w:tcBorders>
          </w:tcPr>
          <w:p w14:paraId="0B473AD1" w14:textId="77777777" w:rsidR="00453FF6" w:rsidRDefault="00BF0DE7">
            <w:pPr>
              <w:spacing w:line="560" w:lineRule="exact"/>
              <w:ind w:firstLineChars="100" w:firstLine="320"/>
              <w:rPr>
                <w:rFonts w:ascii="仿宋" w:eastAsia="仿宋" w:hAnsi="仿宋" w:cs="仿宋_GB2312"/>
                <w:kern w:val="0"/>
                <w:sz w:val="32"/>
                <w:szCs w:val="32"/>
              </w:rPr>
            </w:pPr>
            <w:r>
              <w:rPr>
                <w:rFonts w:ascii="仿宋" w:eastAsia="仿宋" w:hAnsi="仿宋" w:cs="仿宋_GB2312" w:hint="eastAsia"/>
                <w:kern w:val="0"/>
                <w:sz w:val="32"/>
                <w:szCs w:val="32"/>
              </w:rPr>
              <w:t>电话</w:t>
            </w:r>
          </w:p>
        </w:tc>
        <w:tc>
          <w:tcPr>
            <w:tcW w:w="5250" w:type="dxa"/>
            <w:gridSpan w:val="4"/>
            <w:tcBorders>
              <w:top w:val="single" w:sz="4" w:space="0" w:color="auto"/>
              <w:left w:val="nil"/>
              <w:bottom w:val="single" w:sz="4" w:space="0" w:color="auto"/>
              <w:right w:val="single" w:sz="4" w:space="0" w:color="auto"/>
            </w:tcBorders>
          </w:tcPr>
          <w:p w14:paraId="46A81CCC" w14:textId="77777777" w:rsidR="00453FF6" w:rsidRDefault="00453FF6">
            <w:pPr>
              <w:spacing w:line="560" w:lineRule="exact"/>
              <w:rPr>
                <w:rFonts w:ascii="仿宋" w:eastAsia="仿宋" w:hAnsi="仿宋" w:cs="仿宋_GB2312"/>
                <w:kern w:val="0"/>
                <w:sz w:val="32"/>
                <w:szCs w:val="32"/>
              </w:rPr>
            </w:pPr>
          </w:p>
        </w:tc>
      </w:tr>
      <w:tr w:rsidR="00453FF6" w14:paraId="23EE14A0" w14:textId="77777777">
        <w:trPr>
          <w:trHeight w:val="737"/>
        </w:trPr>
        <w:tc>
          <w:tcPr>
            <w:tcW w:w="1633" w:type="dxa"/>
            <w:vMerge/>
            <w:tcBorders>
              <w:top w:val="nil"/>
              <w:left w:val="single" w:sz="4" w:space="0" w:color="auto"/>
              <w:bottom w:val="single" w:sz="4" w:space="0" w:color="auto"/>
              <w:right w:val="single" w:sz="4" w:space="0" w:color="auto"/>
            </w:tcBorders>
            <w:vAlign w:val="center"/>
          </w:tcPr>
          <w:p w14:paraId="65BCBFDF" w14:textId="77777777" w:rsidR="00453FF6" w:rsidRDefault="00453FF6">
            <w:pPr>
              <w:widowControl/>
              <w:jc w:val="left"/>
              <w:rPr>
                <w:rFonts w:ascii="仿宋" w:eastAsia="仿宋" w:hAnsi="仿宋" w:cs="仿宋_GB2312"/>
                <w:kern w:val="0"/>
                <w:sz w:val="32"/>
                <w:szCs w:val="32"/>
              </w:rPr>
            </w:pPr>
          </w:p>
        </w:tc>
        <w:tc>
          <w:tcPr>
            <w:tcW w:w="2317" w:type="dxa"/>
            <w:tcBorders>
              <w:top w:val="single" w:sz="4" w:space="0" w:color="auto"/>
              <w:left w:val="nil"/>
              <w:bottom w:val="single" w:sz="4" w:space="0" w:color="auto"/>
              <w:right w:val="single" w:sz="4" w:space="0" w:color="auto"/>
            </w:tcBorders>
          </w:tcPr>
          <w:p w14:paraId="1519B737" w14:textId="77777777" w:rsidR="00453FF6" w:rsidRDefault="00BF0DE7">
            <w:pPr>
              <w:spacing w:line="560" w:lineRule="exact"/>
              <w:ind w:firstLineChars="100" w:firstLine="320"/>
              <w:rPr>
                <w:rFonts w:ascii="仿宋" w:eastAsia="仿宋" w:hAnsi="仿宋" w:cs="仿宋_GB2312"/>
                <w:kern w:val="0"/>
                <w:sz w:val="32"/>
                <w:szCs w:val="32"/>
              </w:rPr>
            </w:pPr>
            <w:r>
              <w:rPr>
                <w:rFonts w:ascii="仿宋" w:eastAsia="仿宋" w:hAnsi="仿宋" w:cs="仿宋_GB2312" w:hint="eastAsia"/>
                <w:kern w:val="0"/>
                <w:sz w:val="32"/>
                <w:szCs w:val="32"/>
              </w:rPr>
              <w:t>邮箱</w:t>
            </w:r>
          </w:p>
        </w:tc>
        <w:tc>
          <w:tcPr>
            <w:tcW w:w="5250" w:type="dxa"/>
            <w:gridSpan w:val="4"/>
            <w:tcBorders>
              <w:top w:val="single" w:sz="4" w:space="0" w:color="auto"/>
              <w:left w:val="nil"/>
              <w:bottom w:val="single" w:sz="4" w:space="0" w:color="auto"/>
              <w:right w:val="single" w:sz="4" w:space="0" w:color="auto"/>
            </w:tcBorders>
          </w:tcPr>
          <w:p w14:paraId="16966D5C" w14:textId="77777777" w:rsidR="00453FF6" w:rsidRDefault="00453FF6">
            <w:pPr>
              <w:spacing w:line="560" w:lineRule="exact"/>
              <w:rPr>
                <w:rFonts w:ascii="仿宋" w:eastAsia="仿宋" w:hAnsi="仿宋" w:cs="仿宋_GB2312"/>
                <w:kern w:val="0"/>
                <w:sz w:val="32"/>
                <w:szCs w:val="32"/>
              </w:rPr>
            </w:pPr>
          </w:p>
        </w:tc>
      </w:tr>
      <w:tr w:rsidR="00453FF6" w14:paraId="1BFB4915" w14:textId="77777777">
        <w:trPr>
          <w:trHeight w:val="5917"/>
        </w:trPr>
        <w:tc>
          <w:tcPr>
            <w:tcW w:w="1633" w:type="dxa"/>
            <w:tcBorders>
              <w:top w:val="single" w:sz="4" w:space="0" w:color="auto"/>
              <w:left w:val="single" w:sz="4" w:space="0" w:color="auto"/>
              <w:bottom w:val="single" w:sz="4" w:space="0" w:color="auto"/>
              <w:right w:val="single" w:sz="4" w:space="0" w:color="auto"/>
            </w:tcBorders>
          </w:tcPr>
          <w:p w14:paraId="7F9A0C6C" w14:textId="77777777" w:rsidR="00453FF6" w:rsidRDefault="00453FF6">
            <w:pPr>
              <w:spacing w:line="560" w:lineRule="exact"/>
              <w:rPr>
                <w:rFonts w:ascii="仿宋" w:eastAsia="仿宋" w:hAnsi="仿宋" w:cs="仿宋_GB2312"/>
                <w:kern w:val="0"/>
                <w:sz w:val="32"/>
                <w:szCs w:val="32"/>
              </w:rPr>
            </w:pPr>
          </w:p>
          <w:p w14:paraId="53DB8451" w14:textId="77777777" w:rsidR="00453FF6" w:rsidRDefault="00453FF6">
            <w:pPr>
              <w:spacing w:line="560" w:lineRule="exact"/>
              <w:rPr>
                <w:rFonts w:ascii="仿宋" w:eastAsia="仿宋" w:hAnsi="仿宋" w:cs="仿宋_GB2312"/>
                <w:kern w:val="0"/>
                <w:sz w:val="32"/>
                <w:szCs w:val="32"/>
              </w:rPr>
            </w:pPr>
          </w:p>
          <w:p w14:paraId="277005A6" w14:textId="77777777" w:rsidR="00453FF6" w:rsidRDefault="00453FF6">
            <w:pPr>
              <w:spacing w:line="560" w:lineRule="exact"/>
              <w:rPr>
                <w:rFonts w:ascii="仿宋" w:eastAsia="仿宋" w:hAnsi="仿宋" w:cs="仿宋_GB2312"/>
                <w:kern w:val="0"/>
                <w:sz w:val="32"/>
                <w:szCs w:val="32"/>
              </w:rPr>
            </w:pPr>
          </w:p>
          <w:p w14:paraId="0F956C34" w14:textId="77777777" w:rsidR="00453FF6" w:rsidRDefault="00BF0DE7">
            <w:pPr>
              <w:spacing w:line="56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对听证事项的基本</w:t>
            </w:r>
            <w:r>
              <w:rPr>
                <w:rFonts w:ascii="仿宋" w:eastAsia="仿宋" w:hAnsi="仿宋" w:cs="仿宋_GB2312" w:hint="eastAsia"/>
                <w:kern w:val="0"/>
                <w:sz w:val="32"/>
                <w:szCs w:val="32"/>
              </w:rPr>
              <w:t xml:space="preserve">    </w:t>
            </w:r>
            <w:r>
              <w:rPr>
                <w:rFonts w:ascii="仿宋" w:eastAsia="仿宋" w:hAnsi="仿宋" w:cs="仿宋_GB2312" w:hint="eastAsia"/>
                <w:kern w:val="0"/>
                <w:sz w:val="32"/>
                <w:szCs w:val="32"/>
              </w:rPr>
              <w:t>观点</w:t>
            </w:r>
          </w:p>
        </w:tc>
        <w:tc>
          <w:tcPr>
            <w:tcW w:w="7567" w:type="dxa"/>
            <w:gridSpan w:val="5"/>
            <w:tcBorders>
              <w:top w:val="single" w:sz="4" w:space="0" w:color="auto"/>
              <w:left w:val="nil"/>
              <w:bottom w:val="single" w:sz="4" w:space="0" w:color="auto"/>
              <w:right w:val="single" w:sz="4" w:space="0" w:color="auto"/>
            </w:tcBorders>
          </w:tcPr>
          <w:p w14:paraId="7264B186" w14:textId="77777777" w:rsidR="00453FF6" w:rsidRDefault="00453FF6">
            <w:pPr>
              <w:spacing w:line="560" w:lineRule="exact"/>
              <w:rPr>
                <w:rFonts w:ascii="仿宋" w:eastAsia="仿宋" w:hAnsi="仿宋" w:cs="仿宋_GB2312"/>
                <w:kern w:val="0"/>
                <w:sz w:val="32"/>
                <w:szCs w:val="32"/>
              </w:rPr>
            </w:pPr>
          </w:p>
        </w:tc>
      </w:tr>
      <w:tr w:rsidR="00453FF6" w14:paraId="482901E6" w14:textId="77777777">
        <w:trPr>
          <w:trHeight w:val="922"/>
        </w:trPr>
        <w:tc>
          <w:tcPr>
            <w:tcW w:w="1633" w:type="dxa"/>
            <w:tcBorders>
              <w:top w:val="single" w:sz="4" w:space="0" w:color="auto"/>
              <w:left w:val="single" w:sz="4" w:space="0" w:color="auto"/>
              <w:bottom w:val="single" w:sz="4" w:space="0" w:color="auto"/>
              <w:right w:val="single" w:sz="4" w:space="0" w:color="auto"/>
            </w:tcBorders>
            <w:vAlign w:val="center"/>
          </w:tcPr>
          <w:p w14:paraId="122F7795" w14:textId="77777777" w:rsidR="00453FF6" w:rsidRDefault="00BF0DE7">
            <w:pPr>
              <w:spacing w:line="560" w:lineRule="exact"/>
              <w:jc w:val="center"/>
              <w:rPr>
                <w:rFonts w:ascii="仿宋" w:eastAsia="仿宋" w:hAnsi="仿宋" w:cs="仿宋_GB2312"/>
                <w:kern w:val="0"/>
                <w:sz w:val="32"/>
                <w:szCs w:val="32"/>
              </w:rPr>
            </w:pPr>
            <w:r>
              <w:rPr>
                <w:rFonts w:ascii="仿宋" w:eastAsia="仿宋" w:hAnsi="仿宋" w:cs="仿宋_GB2312" w:hint="eastAsia"/>
                <w:kern w:val="0"/>
                <w:sz w:val="32"/>
                <w:szCs w:val="32"/>
              </w:rPr>
              <w:t>备注</w:t>
            </w:r>
          </w:p>
        </w:tc>
        <w:tc>
          <w:tcPr>
            <w:tcW w:w="7567" w:type="dxa"/>
            <w:gridSpan w:val="5"/>
            <w:tcBorders>
              <w:top w:val="single" w:sz="4" w:space="0" w:color="auto"/>
              <w:left w:val="nil"/>
              <w:bottom w:val="single" w:sz="4" w:space="0" w:color="auto"/>
              <w:right w:val="single" w:sz="4" w:space="0" w:color="auto"/>
            </w:tcBorders>
          </w:tcPr>
          <w:p w14:paraId="420B5783" w14:textId="77777777" w:rsidR="00453FF6" w:rsidRDefault="00453FF6">
            <w:pPr>
              <w:spacing w:line="560" w:lineRule="exact"/>
              <w:rPr>
                <w:rFonts w:ascii="仿宋" w:eastAsia="仿宋" w:hAnsi="仿宋" w:cs="仿宋_GB2312"/>
                <w:kern w:val="0"/>
                <w:sz w:val="32"/>
                <w:szCs w:val="32"/>
              </w:rPr>
            </w:pPr>
          </w:p>
        </w:tc>
      </w:tr>
    </w:tbl>
    <w:p w14:paraId="683AAF11" w14:textId="77777777" w:rsidR="00453FF6" w:rsidRDefault="00453FF6">
      <w:pPr>
        <w:pStyle w:val="a0"/>
        <w:rPr>
          <w:rFonts w:ascii="仿宋" w:eastAsia="仿宋" w:hAnsi="仿宋" w:cs="宋体"/>
          <w:kern w:val="0"/>
          <w:sz w:val="32"/>
          <w:szCs w:val="32"/>
        </w:rPr>
      </w:pPr>
    </w:p>
    <w:sectPr w:rsidR="00453FF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189C4" w14:textId="77777777" w:rsidR="00BF0DE7" w:rsidRDefault="00BF0DE7">
      <w:r>
        <w:separator/>
      </w:r>
    </w:p>
  </w:endnote>
  <w:endnote w:type="continuationSeparator" w:id="0">
    <w:p w14:paraId="5A9FAB21" w14:textId="77777777" w:rsidR="00BF0DE7" w:rsidRDefault="00BF0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方正黑体_GBK">
    <w:altName w:val="微软雅黑"/>
    <w:charset w:val="86"/>
    <w:family w:val="auto"/>
    <w:pitch w:val="default"/>
    <w:sig w:usb0="00000001" w:usb1="080E0000" w:usb2="00000000" w:usb3="00000000" w:csb0="00040000"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_GBK">
    <w:altName w:val="微软雅黑"/>
    <w:charset w:val="86"/>
    <w:family w:val="auto"/>
    <w:pitch w:val="default"/>
    <w:sig w:usb0="00000001" w:usb1="080E0000" w:usb2="00000000" w:usb3="00000000" w:csb0="00040000" w:csb1="00000000"/>
  </w:font>
  <w:font w:name="方正楷体_GBK">
    <w:altName w:val="微软雅黑"/>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8E72E" w14:textId="77777777" w:rsidR="00453FF6" w:rsidRDefault="00BF0DE7">
    <w:pPr>
      <w:pStyle w:val="a4"/>
    </w:pPr>
    <w:r>
      <w:rPr>
        <w:noProof/>
      </w:rPr>
      <mc:AlternateContent>
        <mc:Choice Requires="wps">
          <w:drawing>
            <wp:anchor distT="0" distB="0" distL="114300" distR="114300" simplePos="0" relativeHeight="251659264" behindDoc="0" locked="0" layoutInCell="1" allowOverlap="1" wp14:anchorId="73A35F67" wp14:editId="5D8FF4A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A92C17" w14:textId="77777777" w:rsidR="00453FF6" w:rsidRDefault="00BF0DE7">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A35F67"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76A92C17" w14:textId="77777777" w:rsidR="00453FF6" w:rsidRDefault="00BF0DE7">
                    <w:pPr>
                      <w:pStyle w:val="a4"/>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EE2E2" w14:textId="77777777" w:rsidR="00BF0DE7" w:rsidRDefault="00BF0DE7">
      <w:r>
        <w:separator/>
      </w:r>
    </w:p>
  </w:footnote>
  <w:footnote w:type="continuationSeparator" w:id="0">
    <w:p w14:paraId="38DC9181" w14:textId="77777777" w:rsidR="00BF0DE7" w:rsidRDefault="00BF0D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U5YzA2MjIzNzI3MmRhYjM0NzUwMzU2M2RhZDczZjgifQ=="/>
  </w:docVars>
  <w:rsids>
    <w:rsidRoot w:val="00786BD3"/>
    <w:rsid w:val="00233F46"/>
    <w:rsid w:val="00453FF6"/>
    <w:rsid w:val="004540ED"/>
    <w:rsid w:val="00786BD3"/>
    <w:rsid w:val="009B1E11"/>
    <w:rsid w:val="00BF0DE7"/>
    <w:rsid w:val="00E975FB"/>
    <w:rsid w:val="0C832B4C"/>
    <w:rsid w:val="0E19189E"/>
    <w:rsid w:val="1AA06B0A"/>
    <w:rsid w:val="260D2C4F"/>
    <w:rsid w:val="28D54E34"/>
    <w:rsid w:val="314E7FE3"/>
    <w:rsid w:val="333F71D5"/>
    <w:rsid w:val="361A4299"/>
    <w:rsid w:val="40925F06"/>
    <w:rsid w:val="42364D54"/>
    <w:rsid w:val="59E8741C"/>
    <w:rsid w:val="5D350269"/>
    <w:rsid w:val="604E0102"/>
    <w:rsid w:val="61E54E3A"/>
    <w:rsid w:val="637366EE"/>
    <w:rsid w:val="681F4FE0"/>
    <w:rsid w:val="6D9538F2"/>
    <w:rsid w:val="702F13FA"/>
    <w:rsid w:val="70686BDE"/>
    <w:rsid w:val="70A70561"/>
    <w:rsid w:val="768667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5E733"/>
  <w15:docId w15:val="{9AE8E539-9391-4735-B640-C4412E45C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等线" w:eastAsia="等线" w:hAnsi="等线"/>
      <w:kern w:val="2"/>
      <w:sz w:val="21"/>
      <w:szCs w:val="21"/>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semiHidden/>
    <w:unhideWhenUsed/>
    <w:qFormat/>
    <w:pPr>
      <w:keepNext/>
      <w:keepLines/>
      <w:outlineLvl w:val="1"/>
    </w:pPr>
    <w:rPr>
      <w:rFonts w:ascii="Arial" w:eastAsia="方正黑体_GBK"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style>
  <w:style w:type="paragraph" w:styleId="a4">
    <w:name w:val="footer"/>
    <w:basedOn w:val="a"/>
    <w:uiPriority w:val="99"/>
    <w:unhideWhenUsed/>
    <w:qFormat/>
    <w:pPr>
      <w:tabs>
        <w:tab w:val="center" w:pos="4153"/>
        <w:tab w:val="right" w:pos="8306"/>
      </w:tabs>
      <w:snapToGrid w:val="0"/>
      <w:jc w:val="left"/>
    </w:pPr>
    <w:rPr>
      <w:sz w:val="18"/>
    </w:rPr>
  </w:style>
  <w:style w:type="paragraph" w:styleId="a5">
    <w:name w:val="header"/>
    <w:basedOn w:val="a"/>
    <w:uiPriority w:val="99"/>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7">
    <w:name w:val="Table Grid"/>
    <w:basedOn w:val="a2"/>
    <w:uiPriority w:val="99"/>
    <w:unhideWhenUsed/>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1"/>
    <w:uiPriority w:val="22"/>
    <w:qFormat/>
    <w:rPr>
      <w:b/>
      <w:bCs/>
    </w:rPr>
  </w:style>
  <w:style w:type="character" w:styleId="a9">
    <w:name w:val="Emphasis"/>
    <w:basedOn w:val="a1"/>
    <w:uiPriority w:val="20"/>
    <w:qFormat/>
    <w:rPr>
      <w:i/>
      <w:iCs/>
    </w:rPr>
  </w:style>
  <w:style w:type="character" w:styleId="aa">
    <w:name w:val="Hyperlink"/>
    <w:basedOn w:val="a1"/>
    <w:uiPriority w:val="99"/>
    <w:semiHidden/>
    <w:unhideWhenUsed/>
    <w:qFormat/>
    <w:rPr>
      <w:color w:val="0000FF"/>
      <w:u w:val="single"/>
    </w:rPr>
  </w:style>
  <w:style w:type="character" w:customStyle="1" w:styleId="10">
    <w:name w:val="标题 1 字符"/>
    <w:basedOn w:val="a1"/>
    <w:link w:val="1"/>
    <w:uiPriority w:val="9"/>
    <w:qFormat/>
    <w:rPr>
      <w:rFonts w:ascii="宋体" w:eastAsia="宋体" w:hAnsi="宋体" w:cs="宋体"/>
      <w:b/>
      <w:bCs/>
      <w:kern w:val="36"/>
      <w:sz w:val="48"/>
      <w:szCs w:val="48"/>
    </w:rPr>
  </w:style>
  <w:style w:type="paragraph" w:customStyle="1" w:styleId="explain">
    <w:name w:val="explain"/>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big">
    <w:name w:val="big"/>
    <w:basedOn w:val="a1"/>
    <w:qFormat/>
  </w:style>
  <w:style w:type="character" w:customStyle="1" w:styleId="middle">
    <w:name w:val="middle"/>
    <w:basedOn w:val="a1"/>
    <w:qFormat/>
  </w:style>
  <w:style w:type="character" w:customStyle="1" w:styleId="small">
    <w:name w:val="small"/>
    <w:basedOn w:val="a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郭 丽娜</cp:lastModifiedBy>
  <cp:revision>2</cp:revision>
  <cp:lastPrinted>2022-06-14T03:36:00Z</cp:lastPrinted>
  <dcterms:created xsi:type="dcterms:W3CDTF">2022-06-14T07:57:00Z</dcterms:created>
  <dcterms:modified xsi:type="dcterms:W3CDTF">2022-06-14T07:57:00Z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B111D02F28154B0DA49E2CAF4D3AC3FB</vt:lpwstr>
  </property>
</Properties>
</file>